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黑体" w:cs="Times New Roman"/>
          <w:b/>
          <w:sz w:val="32"/>
          <w:szCs w:val="32"/>
        </w:rPr>
      </w:pPr>
      <w:r>
        <w:rPr>
          <w:rFonts w:hint="eastAsia" w:ascii="Times New Roman" w:eastAsia="黑体" w:cs="Times New Roman"/>
          <w:b/>
          <w:sz w:val="32"/>
          <w:szCs w:val="32"/>
        </w:rPr>
        <w:t>《土壤修复技术》课程教学大纲</w:t>
      </w:r>
    </w:p>
    <w:p>
      <w:pPr>
        <w:spacing w:line="360" w:lineRule="auto"/>
        <w:rPr>
          <w:rFonts w:ascii="Times New Roman" w:eastAsia="明黑等宽" w:cs="Times New Roman"/>
          <w:b/>
          <w:sz w:val="28"/>
          <w:szCs w:val="28"/>
        </w:rPr>
      </w:pPr>
    </w:p>
    <w:p>
      <w:pPr>
        <w:snapToGrid w:val="0"/>
        <w:spacing w:line="360" w:lineRule="auto"/>
        <w:rPr>
          <w:rFonts w:ascii="Times New Roman" w:eastAsia="明黑等宽" w:cs="Times New Roman"/>
          <w:b/>
          <w:sz w:val="28"/>
          <w:szCs w:val="28"/>
        </w:rPr>
      </w:pPr>
      <w:r>
        <w:rPr>
          <w:rFonts w:hint="eastAsia" w:ascii="Times New Roman" w:eastAsia="黑体" w:cs="Times New Roman"/>
          <w:b/>
          <w:sz w:val="28"/>
          <w:szCs w:val="28"/>
        </w:rPr>
        <w:t>一、课程简介</w:t>
      </w:r>
    </w:p>
    <w:tbl>
      <w:tblPr>
        <w:tblStyle w:val="1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848"/>
        <w:gridCol w:w="1386"/>
        <w:gridCol w:w="1243"/>
        <w:gridCol w:w="685"/>
        <w:gridCol w:w="500"/>
        <w:gridCol w:w="726"/>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8" w:type="pct"/>
            <w:tcBorders>
              <w:top w:val="single" w:color="auto" w:sz="12" w:space="0"/>
            </w:tcBorders>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课程中文名</w:t>
            </w:r>
          </w:p>
        </w:tc>
        <w:tc>
          <w:tcPr>
            <w:tcW w:w="4201" w:type="pct"/>
            <w:gridSpan w:val="7"/>
            <w:tcBorders>
              <w:top w:val="single" w:color="auto" w:sz="12" w:space="0"/>
            </w:tcBorders>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rPr>
              <w:t>土壤修复技术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8" w:type="pct"/>
            <w:tcBorders>
              <w:top w:val="single" w:color="auto" w:sz="12" w:space="0"/>
            </w:tcBorders>
            <w:vAlign w:val="center"/>
          </w:tcPr>
          <w:p>
            <w:pPr>
              <w:snapToGrid w:val="0"/>
              <w:jc w:val="center"/>
              <w:rPr>
                <w:rFonts w:ascii="Times New Roman" w:cs="Times New Roman"/>
                <w:b/>
                <w:kern w:val="2"/>
                <w:sz w:val="21"/>
                <w:szCs w:val="21"/>
                <w:lang w:bidi="ar"/>
              </w:rPr>
            </w:pPr>
            <w:r>
              <w:rPr>
                <w:rFonts w:hint="eastAsia" w:ascii="Times New Roman" w:cs="Times New Roman"/>
                <w:b/>
                <w:kern w:val="2"/>
                <w:sz w:val="21"/>
                <w:szCs w:val="21"/>
                <w:lang w:bidi="ar"/>
              </w:rPr>
              <w:t>课程英文名</w:t>
            </w:r>
          </w:p>
        </w:tc>
        <w:tc>
          <w:tcPr>
            <w:tcW w:w="2779" w:type="pct"/>
            <w:gridSpan w:val="4"/>
            <w:tcBorders>
              <w:top w:val="single" w:color="auto" w:sz="12" w:space="0"/>
              <w:right w:val="single" w:color="auto" w:sz="12" w:space="0"/>
            </w:tcBorders>
            <w:vAlign w:val="center"/>
          </w:tcPr>
          <w:p>
            <w:pPr>
              <w:snapToGrid w:val="0"/>
              <w:jc w:val="center"/>
              <w:rPr>
                <w:rFonts w:ascii="Times New Roman" w:cs="Times New Roman"/>
                <w:b/>
                <w:kern w:val="2"/>
                <w:sz w:val="21"/>
                <w:szCs w:val="21"/>
              </w:rPr>
            </w:pPr>
            <w:r>
              <w:rPr>
                <w:rFonts w:ascii="Times New Roman" w:cs="Times New Roman"/>
                <w:color w:val="333333"/>
                <w:sz w:val="21"/>
                <w:szCs w:val="21"/>
                <w:shd w:val="clear" w:color="auto" w:fill="FFFFFF"/>
              </w:rPr>
              <w:t>Soil Remediation Technology</w:t>
            </w:r>
          </w:p>
        </w:tc>
        <w:tc>
          <w:tcPr>
            <w:tcW w:w="660" w:type="pct"/>
            <w:gridSpan w:val="2"/>
            <w:tcBorders>
              <w:top w:val="single" w:color="auto" w:sz="12" w:space="0"/>
              <w:right w:val="single" w:color="auto" w:sz="12" w:space="0"/>
            </w:tcBorders>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rPr>
              <w:t>双语授课</w:t>
            </w:r>
          </w:p>
        </w:tc>
        <w:tc>
          <w:tcPr>
            <w:tcW w:w="761" w:type="pct"/>
            <w:tcBorders>
              <w:top w:val="single" w:color="auto" w:sz="12" w:space="0"/>
            </w:tcBorders>
            <w:vAlign w:val="center"/>
          </w:tcPr>
          <w:p>
            <w:pPr>
              <w:snapToGrid w:val="0"/>
              <w:jc w:val="center"/>
              <w:rPr>
                <w:rFonts w:ascii="Times New Roman" w:cs="Times New Roman"/>
                <w:b/>
                <w:kern w:val="2"/>
                <w:sz w:val="21"/>
                <w:szCs w:val="21"/>
              </w:rPr>
            </w:pPr>
            <w:r>
              <w:rPr>
                <w:rFonts w:hint="eastAsia" w:hAnsi="宋体"/>
                <w:kern w:val="2"/>
                <w:sz w:val="21"/>
                <w:szCs w:val="21"/>
                <w:lang w:bidi="ar"/>
              </w:rPr>
              <w:t>□</w:t>
            </w:r>
            <w:r>
              <w:rPr>
                <w:rFonts w:hint="eastAsia" w:ascii="Times New Roman" w:cs="Times New Roman"/>
                <w:kern w:val="2"/>
                <w:sz w:val="21"/>
                <w:szCs w:val="21"/>
                <w:lang w:bidi="ar"/>
              </w:rPr>
              <w:t>是</w:t>
            </w:r>
            <w:r>
              <w:rPr>
                <w:rFonts w:ascii="Times New Roman" w:cs="Times New Roman"/>
                <w:kern w:val="2"/>
                <w:sz w:val="21"/>
                <w:szCs w:val="21"/>
                <w:lang w:bidi="ar"/>
              </w:rPr>
              <w:t xml:space="preserve"> </w:t>
            </w:r>
            <w:bookmarkStart w:id="0" w:name="OLE_LINK1"/>
            <w:r>
              <w:rPr>
                <w:rFonts w:hint="eastAsia" w:hAnsi="Wingdings 2"/>
                <w:color w:val="000000"/>
                <w:kern w:val="2"/>
                <w:sz w:val="21"/>
                <w:szCs w:val="20"/>
                <w:lang w:bidi="ar"/>
              </w:rPr>
              <w:sym w:font="Wingdings 2" w:char="F0A2"/>
            </w:r>
            <w:bookmarkEnd w:id="0"/>
            <w:r>
              <w:rPr>
                <w:rFonts w:hint="eastAsia" w:ascii="Times New Roman" w:cs="Times New Roman"/>
                <w:kern w:val="2"/>
                <w:sz w:val="21"/>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课程代码</w:t>
            </w:r>
          </w:p>
        </w:tc>
        <w:tc>
          <w:tcPr>
            <w:tcW w:w="995"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rPr>
              <w:t>08112133</w:t>
            </w:r>
          </w:p>
        </w:tc>
        <w:tc>
          <w:tcPr>
            <w:tcW w:w="746"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课程学分</w:t>
            </w:r>
          </w:p>
        </w:tc>
        <w:tc>
          <w:tcPr>
            <w:tcW w:w="669" w:type="pct"/>
            <w:vAlign w:val="center"/>
          </w:tcPr>
          <w:p>
            <w:pPr>
              <w:snapToGrid w:val="0"/>
              <w:jc w:val="center"/>
              <w:rPr>
                <w:rFonts w:ascii="Times New Roman" w:cs="Times New Roman"/>
                <w:b/>
                <w:kern w:val="2"/>
                <w:sz w:val="21"/>
                <w:szCs w:val="21"/>
              </w:rPr>
            </w:pPr>
            <w:r>
              <w:rPr>
                <w:rFonts w:ascii="Times New Roman" w:cs="Times New Roman"/>
                <w:b/>
                <w:kern w:val="2"/>
                <w:sz w:val="21"/>
                <w:szCs w:val="21"/>
              </w:rPr>
              <w:t>3</w:t>
            </w:r>
          </w:p>
        </w:tc>
        <w:tc>
          <w:tcPr>
            <w:tcW w:w="638" w:type="pct"/>
            <w:gridSpan w:val="2"/>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总学时数</w:t>
            </w:r>
          </w:p>
        </w:tc>
        <w:tc>
          <w:tcPr>
            <w:tcW w:w="1152" w:type="pct"/>
            <w:gridSpan w:val="2"/>
            <w:vAlign w:val="center"/>
          </w:tcPr>
          <w:p>
            <w:pPr>
              <w:snapToGrid w:val="0"/>
              <w:jc w:val="center"/>
              <w:rPr>
                <w:rFonts w:ascii="Times New Roman" w:cs="Times New Roman"/>
                <w:b/>
                <w:kern w:val="2"/>
                <w:sz w:val="21"/>
                <w:szCs w:val="21"/>
              </w:rPr>
            </w:pPr>
            <w:r>
              <w:rPr>
                <w:rFonts w:ascii="Times New Roman" w:cs="Times New Roman"/>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课程类别</w:t>
            </w:r>
          </w:p>
        </w:tc>
        <w:tc>
          <w:tcPr>
            <w:tcW w:w="995" w:type="pct"/>
            <w:vAlign w:val="center"/>
          </w:tcPr>
          <w:p>
            <w:pPr>
              <w:snapToGrid w:val="0"/>
              <w:rPr>
                <w:rFonts w:hAnsi="宋体"/>
                <w:kern w:val="2"/>
                <w:sz w:val="21"/>
                <w:szCs w:val="21"/>
              </w:rPr>
            </w:pPr>
            <w:r>
              <w:rPr>
                <w:rFonts w:hint="eastAsia" w:hAnsi="宋体"/>
                <w:kern w:val="2"/>
                <w:sz w:val="21"/>
                <w:szCs w:val="21"/>
                <w:lang w:bidi="ar"/>
              </w:rPr>
              <w:t>□通识教育课程</w:t>
            </w:r>
          </w:p>
          <w:p>
            <w:pPr>
              <w:snapToGrid w:val="0"/>
              <w:rPr>
                <w:rFonts w:hAnsi="宋体"/>
                <w:kern w:val="2"/>
                <w:sz w:val="21"/>
                <w:szCs w:val="21"/>
                <w:lang w:bidi="ar"/>
              </w:rPr>
            </w:pPr>
            <w:r>
              <w:rPr>
                <w:rFonts w:hint="eastAsia" w:hAnsi="宋体"/>
                <w:kern w:val="2"/>
                <w:sz w:val="21"/>
                <w:szCs w:val="21"/>
                <w:lang w:bidi="ar"/>
              </w:rPr>
              <w:t>□公共基础课程</w:t>
            </w:r>
          </w:p>
          <w:p>
            <w:pPr>
              <w:snapToGrid w:val="0"/>
              <w:rPr>
                <w:rFonts w:hAnsi="宋体"/>
                <w:kern w:val="2"/>
                <w:sz w:val="21"/>
                <w:szCs w:val="21"/>
              </w:rPr>
            </w:pPr>
            <w:r>
              <w:rPr>
                <w:rFonts w:hint="eastAsia" w:hAnsi="Wingdings 2"/>
                <w:color w:val="000000"/>
                <w:kern w:val="2"/>
                <w:sz w:val="21"/>
                <w:szCs w:val="20"/>
                <w:lang w:bidi="ar"/>
              </w:rPr>
              <w:sym w:font="Wingdings 2" w:char="F0A2"/>
            </w:r>
            <w:r>
              <w:rPr>
                <w:rFonts w:hint="eastAsia" w:hAnsi="宋体"/>
                <w:kern w:val="2"/>
                <w:sz w:val="21"/>
                <w:szCs w:val="21"/>
                <w:lang w:bidi="ar"/>
              </w:rPr>
              <w:t>专业教育课程</w:t>
            </w:r>
          </w:p>
          <w:p>
            <w:pPr>
              <w:snapToGrid w:val="0"/>
              <w:rPr>
                <w:rFonts w:hAnsi="宋体"/>
                <w:kern w:val="2"/>
                <w:sz w:val="21"/>
                <w:szCs w:val="21"/>
                <w:lang w:bidi="ar"/>
              </w:rPr>
            </w:pPr>
            <w:r>
              <w:rPr>
                <w:rFonts w:hint="eastAsia" w:hAnsi="宋体"/>
                <w:kern w:val="2"/>
                <w:sz w:val="21"/>
                <w:szCs w:val="21"/>
                <w:lang w:bidi="ar"/>
              </w:rPr>
              <w:t>□综合实践课程</w:t>
            </w:r>
          </w:p>
          <w:p>
            <w:pPr>
              <w:snapToGrid w:val="0"/>
              <w:rPr>
                <w:rFonts w:ascii="Times New Roman" w:cs="Times New Roman"/>
                <w:b/>
                <w:kern w:val="2"/>
                <w:sz w:val="21"/>
                <w:szCs w:val="21"/>
              </w:rPr>
            </w:pPr>
            <w:r>
              <w:rPr>
                <w:rFonts w:hint="eastAsia" w:hAnsi="宋体"/>
                <w:kern w:val="2"/>
                <w:sz w:val="21"/>
                <w:szCs w:val="21"/>
                <w:lang w:bidi="ar"/>
              </w:rPr>
              <w:t>□教师教育课程</w:t>
            </w:r>
          </w:p>
        </w:tc>
        <w:tc>
          <w:tcPr>
            <w:tcW w:w="746"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课程性质</w:t>
            </w:r>
          </w:p>
        </w:tc>
        <w:tc>
          <w:tcPr>
            <w:tcW w:w="669" w:type="pct"/>
            <w:vAlign w:val="center"/>
          </w:tcPr>
          <w:p>
            <w:pPr>
              <w:snapToGrid w:val="0"/>
              <w:jc w:val="center"/>
              <w:rPr>
                <w:rFonts w:hAnsi="宋体"/>
                <w:kern w:val="2"/>
                <w:sz w:val="21"/>
                <w:szCs w:val="21"/>
              </w:rPr>
            </w:pPr>
            <w:r>
              <w:rPr>
                <w:rFonts w:hint="eastAsia" w:hAnsi="Wingdings 2"/>
                <w:color w:val="000000"/>
                <w:kern w:val="2"/>
                <w:sz w:val="21"/>
                <w:szCs w:val="20"/>
                <w:lang w:bidi="ar"/>
              </w:rPr>
              <w:sym w:font="Wingdings 2" w:char="F0A2"/>
            </w:r>
            <w:r>
              <w:rPr>
                <w:rFonts w:hint="eastAsia" w:hAnsi="宋体"/>
                <w:kern w:val="2"/>
                <w:sz w:val="21"/>
                <w:szCs w:val="21"/>
                <w:lang w:bidi="ar"/>
              </w:rPr>
              <w:t>必修</w:t>
            </w:r>
          </w:p>
          <w:p>
            <w:pPr>
              <w:snapToGrid w:val="0"/>
              <w:jc w:val="center"/>
              <w:rPr>
                <w:rFonts w:hAnsi="宋体"/>
                <w:kern w:val="2"/>
                <w:sz w:val="21"/>
                <w:szCs w:val="21"/>
              </w:rPr>
            </w:pPr>
            <w:r>
              <w:rPr>
                <w:rFonts w:hint="eastAsia" w:hAnsi="宋体"/>
                <w:kern w:val="2"/>
                <w:sz w:val="21"/>
                <w:szCs w:val="21"/>
                <w:lang w:bidi="ar"/>
              </w:rPr>
              <w:t>□选修</w:t>
            </w:r>
          </w:p>
          <w:p>
            <w:pPr>
              <w:snapToGrid w:val="0"/>
              <w:jc w:val="center"/>
              <w:rPr>
                <w:rFonts w:hAnsi="宋体"/>
                <w:b/>
                <w:kern w:val="2"/>
                <w:sz w:val="21"/>
                <w:szCs w:val="21"/>
              </w:rPr>
            </w:pPr>
            <w:r>
              <w:rPr>
                <w:rFonts w:hint="eastAsia" w:hAnsi="宋体"/>
                <w:kern w:val="2"/>
                <w:sz w:val="21"/>
                <w:szCs w:val="21"/>
                <w:lang w:bidi="ar"/>
              </w:rPr>
              <w:t>□其他</w:t>
            </w:r>
          </w:p>
        </w:tc>
        <w:tc>
          <w:tcPr>
            <w:tcW w:w="638" w:type="pct"/>
            <w:gridSpan w:val="2"/>
            <w:vAlign w:val="center"/>
          </w:tcPr>
          <w:p>
            <w:pPr>
              <w:snapToGrid w:val="0"/>
              <w:jc w:val="center"/>
              <w:rPr>
                <w:rFonts w:hAnsi="宋体"/>
                <w:b/>
                <w:kern w:val="2"/>
                <w:sz w:val="21"/>
                <w:szCs w:val="21"/>
              </w:rPr>
            </w:pPr>
            <w:r>
              <w:rPr>
                <w:rFonts w:hint="eastAsia" w:hAnsi="宋体"/>
                <w:b/>
                <w:kern w:val="2"/>
                <w:sz w:val="21"/>
                <w:szCs w:val="21"/>
              </w:rPr>
              <w:t>课程形态</w:t>
            </w:r>
          </w:p>
        </w:tc>
        <w:tc>
          <w:tcPr>
            <w:tcW w:w="1152" w:type="pct"/>
            <w:gridSpan w:val="2"/>
            <w:vAlign w:val="center"/>
          </w:tcPr>
          <w:p>
            <w:pPr>
              <w:snapToGrid w:val="0"/>
              <w:rPr>
                <w:rFonts w:hAnsi="宋体"/>
                <w:kern w:val="2"/>
                <w:sz w:val="21"/>
                <w:szCs w:val="21"/>
              </w:rPr>
            </w:pPr>
            <w:r>
              <w:rPr>
                <w:rFonts w:hint="eastAsia" w:hAnsi="宋体"/>
                <w:kern w:val="2"/>
                <w:sz w:val="21"/>
                <w:szCs w:val="21"/>
                <w:lang w:bidi="ar"/>
              </w:rPr>
              <w:t>□线上</w:t>
            </w:r>
          </w:p>
          <w:p>
            <w:pPr>
              <w:snapToGrid w:val="0"/>
              <w:rPr>
                <w:rFonts w:hAnsi="宋体"/>
                <w:kern w:val="2"/>
                <w:sz w:val="21"/>
                <w:szCs w:val="21"/>
              </w:rPr>
            </w:pPr>
            <w:bookmarkStart w:id="1" w:name="OLE_LINK16"/>
            <w:r>
              <w:rPr>
                <w:rFonts w:hint="eastAsia" w:hAnsi="Wingdings 2"/>
                <w:color w:val="000000"/>
                <w:kern w:val="2"/>
                <w:sz w:val="21"/>
                <w:szCs w:val="20"/>
                <w:lang w:bidi="ar"/>
              </w:rPr>
              <w:sym w:font="Wingdings 2" w:char="F0A2"/>
            </w:r>
            <w:bookmarkEnd w:id="1"/>
            <w:r>
              <w:rPr>
                <w:rFonts w:hint="eastAsia" w:hAnsi="宋体"/>
                <w:kern w:val="2"/>
                <w:sz w:val="21"/>
                <w:szCs w:val="21"/>
                <w:lang w:bidi="ar"/>
              </w:rPr>
              <w:t>线下</w:t>
            </w:r>
          </w:p>
          <w:p>
            <w:pPr>
              <w:snapToGrid w:val="0"/>
              <w:rPr>
                <w:rFonts w:hAnsi="宋体"/>
                <w:kern w:val="2"/>
                <w:sz w:val="21"/>
                <w:szCs w:val="21"/>
              </w:rPr>
            </w:pPr>
            <w:r>
              <w:rPr>
                <w:rFonts w:hint="eastAsia" w:hAnsi="宋体"/>
                <w:kern w:val="2"/>
                <w:sz w:val="21"/>
                <w:szCs w:val="21"/>
                <w:lang w:bidi="ar"/>
              </w:rPr>
              <w:t>□线上线下混合式</w:t>
            </w:r>
          </w:p>
          <w:p>
            <w:pPr>
              <w:snapToGrid w:val="0"/>
              <w:rPr>
                <w:rFonts w:hAnsi="宋体"/>
                <w:kern w:val="2"/>
                <w:sz w:val="21"/>
                <w:szCs w:val="21"/>
                <w:lang w:bidi="ar"/>
              </w:rPr>
            </w:pPr>
            <w:r>
              <w:rPr>
                <w:rFonts w:hint="eastAsia" w:hAnsi="宋体"/>
                <w:kern w:val="2"/>
                <w:sz w:val="21"/>
                <w:szCs w:val="21"/>
                <w:lang w:bidi="ar"/>
              </w:rPr>
              <w:t>□社会实践</w:t>
            </w:r>
          </w:p>
          <w:p>
            <w:pPr>
              <w:snapToGrid w:val="0"/>
              <w:rPr>
                <w:rFonts w:hAnsi="宋体"/>
                <w:kern w:val="2"/>
                <w:sz w:val="21"/>
                <w:szCs w:val="21"/>
                <w:lang w:bidi="ar"/>
              </w:rPr>
            </w:pPr>
            <w:r>
              <w:rPr>
                <w:rFonts w:hint="eastAsia" w:hAnsi="宋体"/>
                <w:kern w:val="2"/>
                <w:sz w:val="21"/>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考核方式</w:t>
            </w:r>
          </w:p>
        </w:tc>
        <w:tc>
          <w:tcPr>
            <w:tcW w:w="4201" w:type="pct"/>
            <w:gridSpan w:val="7"/>
            <w:vAlign w:val="center"/>
          </w:tcPr>
          <w:p>
            <w:pPr>
              <w:snapToGrid w:val="0"/>
              <w:rPr>
                <w:rFonts w:hAnsi="宋体"/>
                <w:kern w:val="2"/>
                <w:sz w:val="21"/>
                <w:szCs w:val="21"/>
              </w:rPr>
            </w:pPr>
            <w:r>
              <w:rPr>
                <w:rFonts w:hint="eastAsia" w:hAnsi="Wingdings 2"/>
                <w:color w:val="000000"/>
                <w:kern w:val="2"/>
                <w:sz w:val="21"/>
                <w:szCs w:val="20"/>
                <w:lang w:bidi="ar"/>
              </w:rPr>
              <w:sym w:font="Wingdings 2" w:char="F0A2"/>
            </w:r>
            <w:r>
              <w:rPr>
                <w:rFonts w:hint="eastAsia" w:hAnsi="宋体"/>
                <w:kern w:val="2"/>
                <w:sz w:val="21"/>
                <w:szCs w:val="21"/>
                <w:lang w:bidi="ar"/>
              </w:rPr>
              <w:t>闭卷</w:t>
            </w:r>
            <w:r>
              <w:rPr>
                <w:rFonts w:hAnsi="宋体"/>
                <w:kern w:val="2"/>
                <w:sz w:val="21"/>
                <w:szCs w:val="21"/>
                <w:lang w:bidi="ar"/>
              </w:rPr>
              <w:t xml:space="preserve">  </w:t>
            </w:r>
            <w:r>
              <w:rPr>
                <w:rFonts w:hint="eastAsia" w:hAnsi="宋体"/>
                <w:kern w:val="2"/>
                <w:sz w:val="21"/>
                <w:szCs w:val="21"/>
                <w:lang w:bidi="ar"/>
              </w:rPr>
              <w:t>□开卷</w:t>
            </w:r>
            <w:r>
              <w:rPr>
                <w:rFonts w:hAnsi="宋体"/>
                <w:kern w:val="2"/>
                <w:sz w:val="21"/>
                <w:szCs w:val="21"/>
                <w:lang w:bidi="ar"/>
              </w:rPr>
              <w:t xml:space="preserve">  </w:t>
            </w:r>
            <w:r>
              <w:rPr>
                <w:rFonts w:hint="eastAsia" w:hAnsi="宋体"/>
                <w:kern w:val="2"/>
                <w:sz w:val="21"/>
                <w:szCs w:val="21"/>
                <w:lang w:bidi="ar"/>
              </w:rPr>
              <w:t>□课程论文</w:t>
            </w:r>
            <w:r>
              <w:rPr>
                <w:rFonts w:hAnsi="宋体"/>
                <w:kern w:val="2"/>
                <w:sz w:val="21"/>
                <w:szCs w:val="21"/>
                <w:lang w:bidi="ar"/>
              </w:rPr>
              <w:t xml:space="preserve"> </w:t>
            </w:r>
            <w:r>
              <w:rPr>
                <w:rFonts w:hint="eastAsia" w:hAnsi="宋体"/>
                <w:kern w:val="2"/>
                <w:sz w:val="21"/>
                <w:szCs w:val="21"/>
                <w:lang w:bidi="ar"/>
              </w:rPr>
              <w:t>□课程作品</w:t>
            </w:r>
            <w:r>
              <w:rPr>
                <w:rFonts w:hAnsi="宋体"/>
                <w:kern w:val="2"/>
                <w:sz w:val="21"/>
                <w:szCs w:val="21"/>
                <w:lang w:bidi="ar"/>
              </w:rPr>
              <w:t xml:space="preserve">  </w:t>
            </w:r>
            <w:r>
              <w:rPr>
                <w:rFonts w:hint="eastAsia" w:hAnsi="Wingdings 2"/>
                <w:color w:val="000000"/>
                <w:kern w:val="2"/>
                <w:sz w:val="21"/>
                <w:szCs w:val="20"/>
                <w:lang w:bidi="ar"/>
              </w:rPr>
              <w:sym w:font="Wingdings 2" w:char="F0A2"/>
            </w:r>
            <w:r>
              <w:rPr>
                <w:rFonts w:hint="eastAsia" w:hAnsi="宋体"/>
                <w:kern w:val="2"/>
                <w:sz w:val="21"/>
                <w:szCs w:val="21"/>
                <w:lang w:bidi="ar"/>
              </w:rPr>
              <w:t>汇报展示</w:t>
            </w:r>
            <w:r>
              <w:rPr>
                <w:rFonts w:hAnsi="宋体"/>
                <w:kern w:val="2"/>
                <w:sz w:val="21"/>
                <w:szCs w:val="21"/>
                <w:lang w:bidi="ar"/>
              </w:rPr>
              <w:t xml:space="preserve">  </w:t>
            </w:r>
            <w:r>
              <w:rPr>
                <w:rFonts w:hint="eastAsia" w:hAnsi="宋体"/>
                <w:kern w:val="2"/>
                <w:sz w:val="21"/>
                <w:szCs w:val="21"/>
                <w:lang w:bidi="ar"/>
              </w:rPr>
              <w:t>□报告</w:t>
            </w:r>
            <w:r>
              <w:rPr>
                <w:rFonts w:hAnsi="宋体"/>
                <w:kern w:val="2"/>
                <w:sz w:val="21"/>
                <w:szCs w:val="21"/>
                <w:lang w:bidi="ar"/>
              </w:rPr>
              <w:t xml:space="preserve">  </w:t>
            </w:r>
          </w:p>
          <w:p>
            <w:pPr>
              <w:snapToGrid w:val="0"/>
              <w:rPr>
                <w:rFonts w:ascii="Times New Roman" w:cs="Times New Roman"/>
                <w:kern w:val="2"/>
                <w:sz w:val="21"/>
                <w:szCs w:val="21"/>
              </w:rPr>
            </w:pPr>
            <w:r>
              <w:rPr>
                <w:rFonts w:hint="eastAsia" w:hAnsi="Wingdings 2"/>
                <w:color w:val="000000"/>
                <w:kern w:val="2"/>
                <w:sz w:val="21"/>
                <w:szCs w:val="20"/>
                <w:lang w:bidi="ar"/>
              </w:rPr>
              <w:sym w:font="Wingdings 2" w:char="F0A2"/>
            </w:r>
            <w:r>
              <w:rPr>
                <w:rFonts w:hint="eastAsia" w:hAnsi="宋体"/>
                <w:kern w:val="2"/>
                <w:sz w:val="21"/>
                <w:szCs w:val="21"/>
                <w:lang w:bidi="ar"/>
              </w:rPr>
              <w:t>课堂表现</w:t>
            </w:r>
            <w:r>
              <w:rPr>
                <w:rFonts w:hAnsi="宋体"/>
                <w:kern w:val="2"/>
                <w:sz w:val="21"/>
                <w:szCs w:val="21"/>
                <w:lang w:bidi="ar"/>
              </w:rPr>
              <w:t xml:space="preserve">  </w:t>
            </w:r>
            <w:r>
              <w:rPr>
                <w:rFonts w:hint="eastAsia" w:hAnsi="Wingdings 2"/>
                <w:color w:val="000000"/>
                <w:kern w:val="2"/>
                <w:sz w:val="21"/>
                <w:szCs w:val="20"/>
                <w:lang w:bidi="ar"/>
              </w:rPr>
              <w:sym w:font="Wingdings 2" w:char="F0A2"/>
            </w:r>
            <w:r>
              <w:rPr>
                <w:rFonts w:hint="eastAsia" w:hAnsi="宋体"/>
                <w:kern w:val="2"/>
                <w:sz w:val="21"/>
                <w:szCs w:val="21"/>
                <w:lang w:bidi="ar"/>
              </w:rPr>
              <w:t>阶段性测试</w:t>
            </w:r>
            <w:r>
              <w:rPr>
                <w:rFonts w:hAnsi="宋体"/>
                <w:kern w:val="2"/>
                <w:sz w:val="21"/>
                <w:szCs w:val="21"/>
                <w:lang w:bidi="ar"/>
              </w:rPr>
              <w:t xml:space="preserve">  </w:t>
            </w:r>
            <w:r>
              <w:rPr>
                <w:rFonts w:hint="eastAsia" w:hAnsi="Wingdings 2"/>
                <w:color w:val="000000"/>
                <w:kern w:val="2"/>
                <w:sz w:val="21"/>
                <w:szCs w:val="20"/>
                <w:lang w:bidi="ar"/>
              </w:rPr>
              <w:sym w:font="Wingdings 2" w:char="F0A2"/>
            </w:r>
            <w:r>
              <w:rPr>
                <w:rFonts w:hint="eastAsia" w:hAnsi="宋体"/>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int="eastAsia" w:hAnsi="宋体"/>
                <w:kern w:val="2"/>
                <w:sz w:val="21"/>
                <w:szCs w:val="21"/>
                <w:lang w:bidi="ar"/>
              </w:rPr>
              <w:t>□</w:t>
            </w:r>
            <w:r>
              <w:rPr>
                <w:rFonts w:hint="eastAsia" w:hAnsi="宋体"/>
                <w:sz w:val="21"/>
                <w:szCs w:val="21"/>
                <w:lang w:bidi="ar"/>
              </w:rPr>
              <w:t>其他</w:t>
            </w:r>
            <w:r>
              <w:rPr>
                <w:rFonts w:hAnsi="宋体"/>
                <w:sz w:val="21"/>
                <w:szCs w:val="21"/>
                <w:lang w:bidi="ar"/>
              </w:rPr>
              <w:t xml:space="preserve"> </w:t>
            </w:r>
            <w:r>
              <w:rPr>
                <w:rFonts w:hint="eastAsia" w:hAnsi="宋体"/>
                <w:sz w:val="21"/>
                <w:szCs w:val="21"/>
                <w:lang w:bidi="ar"/>
              </w:rPr>
              <w:t>（可多选）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开课学院</w:t>
            </w:r>
          </w:p>
        </w:tc>
        <w:tc>
          <w:tcPr>
            <w:tcW w:w="1741" w:type="pct"/>
            <w:gridSpan w:val="2"/>
            <w:vAlign w:val="center"/>
          </w:tcPr>
          <w:p>
            <w:pPr>
              <w:snapToGrid w:val="0"/>
              <w:jc w:val="center"/>
              <w:rPr>
                <w:rFonts w:ascii="Times New Roman" w:cs="Times New Roman"/>
                <w:sz w:val="21"/>
                <w:szCs w:val="21"/>
              </w:rPr>
            </w:pPr>
            <w:r>
              <w:rPr>
                <w:rFonts w:hint="eastAsia" w:ascii="Times New Roman" w:cs="Times New Roman"/>
                <w:sz w:val="21"/>
                <w:szCs w:val="21"/>
              </w:rPr>
              <w:t>绿色智慧环境学院</w:t>
            </w:r>
          </w:p>
        </w:tc>
        <w:tc>
          <w:tcPr>
            <w:tcW w:w="669" w:type="pct"/>
            <w:vAlign w:val="center"/>
          </w:tcPr>
          <w:p>
            <w:pPr>
              <w:snapToGrid w:val="0"/>
              <w:jc w:val="center"/>
              <w:rPr>
                <w:rFonts w:ascii="Times New Roman" w:cs="Times New Roman"/>
                <w:b/>
                <w:kern w:val="2"/>
                <w:sz w:val="21"/>
                <w:szCs w:val="21"/>
                <w:lang w:bidi="ar"/>
              </w:rPr>
            </w:pPr>
            <w:r>
              <w:rPr>
                <w:rFonts w:hint="eastAsia" w:ascii="Times New Roman" w:cs="Times New Roman"/>
                <w:b/>
                <w:kern w:val="2"/>
                <w:sz w:val="21"/>
                <w:szCs w:val="21"/>
                <w:lang w:bidi="ar"/>
              </w:rPr>
              <w:t>开课</w:t>
            </w:r>
          </w:p>
          <w:p>
            <w:pPr>
              <w:snapToGrid w:val="0"/>
              <w:jc w:val="both"/>
              <w:rPr>
                <w:rFonts w:ascii="Times New Roman" w:cs="Times New Roman"/>
                <w:b/>
                <w:kern w:val="2"/>
                <w:sz w:val="21"/>
                <w:szCs w:val="21"/>
              </w:rPr>
            </w:pPr>
            <w:r>
              <w:rPr>
                <w:rFonts w:hint="eastAsia" w:ascii="Times New Roman" w:cs="Times New Roman"/>
                <w:b/>
                <w:kern w:val="2"/>
                <w:sz w:val="21"/>
                <w:szCs w:val="21"/>
                <w:lang w:bidi="ar"/>
              </w:rPr>
              <w:t>系</w:t>
            </w:r>
            <w:r>
              <w:rPr>
                <w:rFonts w:ascii="Times New Roman" w:cs="Times New Roman"/>
                <w:b/>
                <w:kern w:val="2"/>
                <w:sz w:val="21"/>
                <w:szCs w:val="21"/>
                <w:lang w:bidi="ar"/>
              </w:rPr>
              <w:t>(</w:t>
            </w:r>
            <w:r>
              <w:rPr>
                <w:rFonts w:hint="eastAsia"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pPr>
              <w:snapToGrid w:val="0"/>
              <w:jc w:val="center"/>
              <w:rPr>
                <w:rFonts w:ascii="Times New Roman" w:cs="Times New Roman"/>
                <w:sz w:val="21"/>
                <w:szCs w:val="21"/>
              </w:rPr>
            </w:pPr>
            <w:r>
              <w:rPr>
                <w:rFonts w:hint="eastAsia" w:ascii="Times New Roman" w:cs="Times New Roman"/>
                <w:sz w:val="21"/>
                <w:szCs w:val="21"/>
              </w:rPr>
              <w:t>环境生态工程系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面向专业</w:t>
            </w:r>
          </w:p>
        </w:tc>
        <w:tc>
          <w:tcPr>
            <w:tcW w:w="1741" w:type="pct"/>
            <w:gridSpan w:val="2"/>
            <w:vAlign w:val="center"/>
          </w:tcPr>
          <w:p>
            <w:pPr>
              <w:snapToGrid w:val="0"/>
              <w:jc w:val="center"/>
              <w:rPr>
                <w:rFonts w:ascii="Times New Roman" w:cs="Times New Roman"/>
                <w:sz w:val="21"/>
                <w:szCs w:val="21"/>
              </w:rPr>
            </w:pPr>
            <w:r>
              <w:rPr>
                <w:rFonts w:hint="eastAsia" w:ascii="Times New Roman" w:cs="Times New Roman"/>
                <w:sz w:val="21"/>
                <w:szCs w:val="21"/>
              </w:rPr>
              <w:t>环境生态工程</w:t>
            </w:r>
          </w:p>
        </w:tc>
        <w:tc>
          <w:tcPr>
            <w:tcW w:w="669"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开课学期</w:t>
            </w:r>
          </w:p>
        </w:tc>
        <w:tc>
          <w:tcPr>
            <w:tcW w:w="1790" w:type="pct"/>
            <w:gridSpan w:val="4"/>
            <w:vAlign w:val="center"/>
          </w:tcPr>
          <w:p>
            <w:pPr>
              <w:snapToGrid w:val="0"/>
              <w:jc w:val="center"/>
              <w:rPr>
                <w:rFonts w:ascii="Times New Roman" w:cs="Times New Roman"/>
                <w:sz w:val="21"/>
                <w:szCs w:val="21"/>
              </w:rPr>
            </w:pPr>
            <w:r>
              <w:rPr>
                <w:rFonts w:hint="eastAsia" w:ascii="Times New Roman" w:cs="Times New Roman"/>
                <w:sz w:val="21"/>
                <w:szCs w:val="21"/>
              </w:rPr>
              <w:t>第</w:t>
            </w:r>
            <w:r>
              <w:rPr>
                <w:rFonts w:ascii="Times New Roman" w:cs="Times New Roman"/>
                <w:sz w:val="21"/>
                <w:szCs w:val="21"/>
              </w:rPr>
              <w:t>6</w:t>
            </w:r>
            <w:r>
              <w:rPr>
                <w:rFonts w:hint="eastAsia" w:ascii="Times New Roman" w:cs="Times New Roman"/>
                <w:sz w:val="21"/>
                <w:szCs w:val="21"/>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8" w:type="pct"/>
            <w:vAlign w:val="center"/>
          </w:tcPr>
          <w:p>
            <w:pPr>
              <w:snapToGrid w:val="0"/>
              <w:jc w:val="center"/>
              <w:rPr>
                <w:rFonts w:ascii="Times New Roman" w:cs="Times New Roman"/>
                <w:kern w:val="2"/>
                <w:sz w:val="21"/>
                <w:szCs w:val="21"/>
              </w:rPr>
            </w:pPr>
            <w:r>
              <w:rPr>
                <w:rFonts w:hint="eastAsia" w:ascii="Times New Roman" w:cs="Times New Roman"/>
                <w:b/>
                <w:kern w:val="2"/>
                <w:sz w:val="21"/>
                <w:szCs w:val="21"/>
                <w:lang w:bidi="ar"/>
              </w:rPr>
              <w:t>课程负责人</w:t>
            </w:r>
          </w:p>
        </w:tc>
        <w:tc>
          <w:tcPr>
            <w:tcW w:w="1741" w:type="pct"/>
            <w:gridSpan w:val="2"/>
            <w:vAlign w:val="center"/>
          </w:tcPr>
          <w:p>
            <w:pPr>
              <w:snapToGrid w:val="0"/>
              <w:jc w:val="center"/>
              <w:rPr>
                <w:rFonts w:ascii="Times New Roman" w:cs="Times New Roman"/>
                <w:sz w:val="21"/>
                <w:szCs w:val="21"/>
              </w:rPr>
            </w:pPr>
            <w:r>
              <w:rPr>
                <w:rFonts w:hint="eastAsia" w:ascii="Times New Roman" w:cs="Times New Roman"/>
                <w:sz w:val="21"/>
                <w:szCs w:val="21"/>
              </w:rPr>
              <w:t>朱金山</w:t>
            </w:r>
          </w:p>
        </w:tc>
        <w:tc>
          <w:tcPr>
            <w:tcW w:w="669" w:type="pct"/>
            <w:vAlign w:val="center"/>
          </w:tcPr>
          <w:p>
            <w:pPr>
              <w:snapToGrid w:val="0"/>
              <w:jc w:val="center"/>
              <w:rPr>
                <w:rFonts w:ascii="Times New Roman" w:cs="Times New Roman"/>
                <w:kern w:val="2"/>
                <w:sz w:val="21"/>
                <w:szCs w:val="21"/>
              </w:rPr>
            </w:pPr>
            <w:r>
              <w:rPr>
                <w:rFonts w:hint="eastAsia" w:ascii="Times New Roman" w:cs="Times New Roman"/>
                <w:b/>
                <w:kern w:val="2"/>
                <w:sz w:val="21"/>
                <w:szCs w:val="21"/>
                <w:lang w:bidi="ar"/>
              </w:rPr>
              <w:t>审核人</w:t>
            </w:r>
          </w:p>
        </w:tc>
        <w:tc>
          <w:tcPr>
            <w:tcW w:w="1790" w:type="pct"/>
            <w:gridSpan w:val="4"/>
            <w:vAlign w:val="center"/>
          </w:tcPr>
          <w:p>
            <w:pPr>
              <w:snapToGrid w:val="0"/>
              <w:jc w:val="center"/>
              <w:rPr>
                <w:rFonts w:ascii="Times New Roman" w:cs="Times New Roman"/>
                <w:sz w:val="21"/>
                <w:szCs w:val="21"/>
              </w:rPr>
            </w:pPr>
            <w:r>
              <w:rPr>
                <w:rFonts w:hint="eastAsia" w:ascii="Times New Roman" w:cs="Times New Roman"/>
                <w:kern w:val="2"/>
                <w:sz w:val="21"/>
                <w:szCs w:val="21"/>
                <w:lang w:bidi="ar"/>
              </w:rPr>
              <w:t>学院教学委员会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先修课程</w:t>
            </w:r>
          </w:p>
        </w:tc>
        <w:tc>
          <w:tcPr>
            <w:tcW w:w="4201" w:type="pct"/>
            <w:gridSpan w:val="7"/>
            <w:vAlign w:val="center"/>
          </w:tcPr>
          <w:p>
            <w:pPr>
              <w:snapToGrid w:val="0"/>
              <w:rPr>
                <w:rFonts w:ascii="Times New Roman" w:cs="Times New Roman"/>
                <w:kern w:val="2"/>
                <w:sz w:val="21"/>
                <w:szCs w:val="21"/>
              </w:rPr>
            </w:pPr>
            <w:r>
              <w:rPr>
                <w:rFonts w:hint="eastAsia" w:ascii="Times New Roman" w:cs="Times New Roman"/>
                <w:sz w:val="21"/>
                <w:szCs w:val="21"/>
              </w:rPr>
              <w:t>环境学导论、环境生态学、环境生物学、环境监测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8" w:type="pct"/>
            <w:vAlign w:val="center"/>
          </w:tcPr>
          <w:p>
            <w:pPr>
              <w:snapToGrid w:val="0"/>
              <w:jc w:val="center"/>
              <w:rPr>
                <w:rFonts w:ascii="Times New Roman" w:cs="Times New Roman"/>
                <w:b/>
                <w:kern w:val="2"/>
                <w:sz w:val="21"/>
                <w:szCs w:val="21"/>
              </w:rPr>
            </w:pPr>
            <w:r>
              <w:rPr>
                <w:rFonts w:hint="eastAsia" w:ascii="Times New Roman" w:cs="Times New Roman"/>
                <w:b/>
                <w:kern w:val="2"/>
                <w:sz w:val="21"/>
                <w:szCs w:val="21"/>
                <w:lang w:bidi="ar"/>
              </w:rPr>
              <w:t>后续课程</w:t>
            </w:r>
          </w:p>
        </w:tc>
        <w:tc>
          <w:tcPr>
            <w:tcW w:w="4201" w:type="pct"/>
            <w:gridSpan w:val="7"/>
            <w:vAlign w:val="center"/>
          </w:tcPr>
          <w:p>
            <w:pPr>
              <w:snapToGrid w:val="0"/>
              <w:rPr>
                <w:rFonts w:ascii="Times New Roman" w:cs="Times New Roman"/>
                <w:kern w:val="2"/>
                <w:sz w:val="21"/>
                <w:szCs w:val="21"/>
              </w:rPr>
            </w:pPr>
            <w:r>
              <w:rPr>
                <w:rFonts w:hint="eastAsia" w:ascii="Times New Roman" w:cs="Times New Roman"/>
                <w:sz w:val="21"/>
                <w:szCs w:val="21"/>
              </w:rPr>
              <w:t>毕业实习等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8" w:type="pct"/>
            <w:vAlign w:val="center"/>
          </w:tcPr>
          <w:p>
            <w:pPr>
              <w:snapToGrid w:val="0"/>
              <w:jc w:val="center"/>
              <w:rPr>
                <w:rFonts w:ascii="Times New Roman" w:cs="Times New Roman"/>
                <w:b/>
                <w:kern w:val="2"/>
                <w:sz w:val="21"/>
                <w:szCs w:val="21"/>
                <w:lang w:bidi="ar"/>
              </w:rPr>
            </w:pPr>
            <w:r>
              <w:rPr>
                <w:rFonts w:hint="eastAsia" w:ascii="Times New Roman" w:cs="Times New Roman"/>
                <w:b/>
                <w:kern w:val="2"/>
                <w:sz w:val="21"/>
                <w:szCs w:val="21"/>
                <w:lang w:bidi="ar"/>
              </w:rPr>
              <w:t>选用教材</w:t>
            </w:r>
          </w:p>
        </w:tc>
        <w:tc>
          <w:tcPr>
            <w:tcW w:w="4201" w:type="pct"/>
            <w:gridSpan w:val="7"/>
            <w:vAlign w:val="center"/>
          </w:tcPr>
          <w:p>
            <w:pPr>
              <w:snapToGrid w:val="0"/>
              <w:rPr>
                <w:rFonts w:ascii="Times New Roman" w:cs="Times New Roman"/>
                <w:color w:val="FF0000"/>
                <w:sz w:val="21"/>
                <w:szCs w:val="21"/>
              </w:rPr>
            </w:pPr>
            <w:r>
              <w:rPr>
                <w:rFonts w:hint="eastAsia" w:ascii="Times New Roman" w:cs="Times New Roman"/>
                <w:sz w:val="21"/>
                <w:szCs w:val="21"/>
              </w:rPr>
              <w:t>张颖</w:t>
            </w:r>
            <w:r>
              <w:rPr>
                <w:rFonts w:ascii="Times New Roman" w:cs="Times New Roman"/>
                <w:sz w:val="21"/>
                <w:szCs w:val="21"/>
              </w:rPr>
              <w:t xml:space="preserve"> </w:t>
            </w:r>
            <w:r>
              <w:rPr>
                <w:rFonts w:hint="eastAsia" w:ascii="Times New Roman" w:cs="Times New Roman"/>
                <w:sz w:val="21"/>
                <w:szCs w:val="21"/>
              </w:rPr>
              <w:t>伍钧</w:t>
            </w:r>
            <w:r>
              <w:rPr>
                <w:rFonts w:ascii="Times New Roman" w:cs="Times New Roman"/>
                <w:sz w:val="21"/>
                <w:szCs w:val="21"/>
              </w:rPr>
              <w:t xml:space="preserve"> </w:t>
            </w:r>
            <w:r>
              <w:rPr>
                <w:rFonts w:hint="eastAsia" w:ascii="Times New Roman" w:cs="Times New Roman"/>
                <w:sz w:val="21"/>
                <w:szCs w:val="21"/>
              </w:rPr>
              <w:t>主著</w:t>
            </w:r>
            <w:r>
              <w:rPr>
                <w:rFonts w:ascii="Times New Roman" w:cs="Times New Roman"/>
                <w:sz w:val="21"/>
                <w:szCs w:val="21"/>
              </w:rPr>
              <w:t>.</w:t>
            </w:r>
            <w:r>
              <w:rPr>
                <w:rFonts w:hint="eastAsia" w:ascii="Times New Roman" w:cs="Times New Roman"/>
                <w:sz w:val="21"/>
                <w:szCs w:val="21"/>
              </w:rPr>
              <w:t>土壤污染与防治</w:t>
            </w:r>
            <w:r>
              <w:rPr>
                <w:rFonts w:ascii="Times New Roman" w:cs="Times New Roman"/>
                <w:sz w:val="21"/>
                <w:szCs w:val="21"/>
              </w:rPr>
              <w:t>[M].</w:t>
            </w:r>
            <w:r>
              <w:rPr>
                <w:rFonts w:hint="eastAsia" w:ascii="Times New Roman" w:cs="Times New Roman"/>
                <w:sz w:val="21"/>
                <w:szCs w:val="21"/>
              </w:rPr>
              <w:t>北京：中国林业出版社，</w:t>
            </w:r>
            <w:r>
              <w:rPr>
                <w:rFonts w:ascii="Times New Roman" w:cs="Times New Roman"/>
                <w:sz w:val="21"/>
                <w:szCs w:val="21"/>
              </w:rPr>
              <w:t>2012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ascii="Times New Roman" w:cs="Times New Roman"/>
                <w:b/>
                <w:kern w:val="2"/>
                <w:sz w:val="21"/>
                <w:szCs w:val="21"/>
                <w:lang w:bidi="ar"/>
              </w:rPr>
            </w:pPr>
            <w:r>
              <w:rPr>
                <w:rFonts w:hint="eastAsia" w:ascii="Times New Roman" w:cs="Times New Roman"/>
                <w:b/>
                <w:kern w:val="2"/>
                <w:sz w:val="21"/>
                <w:szCs w:val="21"/>
                <w:lang w:bidi="ar"/>
              </w:rPr>
              <w:t>参考书目</w:t>
            </w:r>
          </w:p>
        </w:tc>
        <w:tc>
          <w:tcPr>
            <w:tcW w:w="4201" w:type="pct"/>
            <w:gridSpan w:val="7"/>
            <w:vAlign w:val="center"/>
          </w:tcPr>
          <w:p>
            <w:pPr>
              <w:snapToGrid w:val="0"/>
              <w:rPr>
                <w:rFonts w:ascii="Times New Roman" w:cs="Times New Roman"/>
                <w:sz w:val="21"/>
                <w:szCs w:val="21"/>
              </w:rPr>
            </w:pPr>
            <w:r>
              <w:rPr>
                <w:rFonts w:ascii="Times New Roman" w:cs="Times New Roman"/>
                <w:sz w:val="21"/>
                <w:szCs w:val="21"/>
              </w:rPr>
              <w:t xml:space="preserve">[1] </w:t>
            </w:r>
            <w:r>
              <w:rPr>
                <w:rFonts w:hint="eastAsia" w:ascii="Times New Roman" w:cs="Times New Roman"/>
                <w:sz w:val="21"/>
                <w:szCs w:val="21"/>
              </w:rPr>
              <w:t>王红旗</w:t>
            </w:r>
            <w:r>
              <w:rPr>
                <w:rFonts w:ascii="Times New Roman" w:cs="Times New Roman"/>
                <w:sz w:val="21"/>
                <w:szCs w:val="21"/>
              </w:rPr>
              <w:t>,</w:t>
            </w:r>
            <w:r>
              <w:rPr>
                <w:rFonts w:hint="eastAsia" w:ascii="Times New Roman" w:cs="Times New Roman"/>
                <w:sz w:val="21"/>
                <w:szCs w:val="21"/>
              </w:rPr>
              <w:t>刘新会</w:t>
            </w:r>
            <w:r>
              <w:rPr>
                <w:rFonts w:ascii="Times New Roman" w:cs="Times New Roman"/>
                <w:sz w:val="21"/>
                <w:szCs w:val="21"/>
              </w:rPr>
              <w:t>,</w:t>
            </w:r>
            <w:r>
              <w:rPr>
                <w:rFonts w:hint="eastAsia" w:ascii="Times New Roman" w:cs="Times New Roman"/>
                <w:sz w:val="21"/>
                <w:szCs w:val="21"/>
              </w:rPr>
              <w:t>李国学等</w:t>
            </w:r>
            <w:r>
              <w:rPr>
                <w:rFonts w:ascii="Times New Roman" w:cs="Times New Roman"/>
                <w:sz w:val="21"/>
                <w:szCs w:val="21"/>
              </w:rPr>
              <w:t xml:space="preserve"> </w:t>
            </w:r>
            <w:r>
              <w:rPr>
                <w:rFonts w:hint="eastAsia" w:ascii="Times New Roman" w:cs="Times New Roman"/>
                <w:sz w:val="21"/>
                <w:szCs w:val="21"/>
              </w:rPr>
              <w:t>编著</w:t>
            </w:r>
            <w:r>
              <w:rPr>
                <w:rFonts w:ascii="Times New Roman" w:cs="Times New Roman"/>
                <w:sz w:val="21"/>
                <w:szCs w:val="21"/>
              </w:rPr>
              <w:t>.</w:t>
            </w:r>
            <w:r>
              <w:rPr>
                <w:rFonts w:hint="eastAsia" w:ascii="Times New Roman" w:cs="Times New Roman"/>
                <w:sz w:val="21"/>
                <w:szCs w:val="21"/>
              </w:rPr>
              <w:t>土壤环境学</w:t>
            </w:r>
            <w:r>
              <w:rPr>
                <w:rFonts w:ascii="Times New Roman" w:cs="Times New Roman"/>
                <w:sz w:val="21"/>
                <w:szCs w:val="21"/>
              </w:rPr>
              <w:t>[M].</w:t>
            </w:r>
            <w:r>
              <w:rPr>
                <w:rFonts w:hint="eastAsia" w:ascii="Times New Roman" w:cs="Times New Roman"/>
                <w:sz w:val="21"/>
                <w:szCs w:val="21"/>
              </w:rPr>
              <w:t>北京：高等教育出版社，</w:t>
            </w:r>
            <w:r>
              <w:rPr>
                <w:rFonts w:ascii="Times New Roman" w:cs="Times New Roman"/>
                <w:sz w:val="21"/>
                <w:szCs w:val="21"/>
              </w:rPr>
              <w:t>2007</w:t>
            </w:r>
            <w:r>
              <w:rPr>
                <w:rFonts w:hint="eastAsia" w:ascii="Times New Roman" w:cs="Times New Roman"/>
                <w:sz w:val="21"/>
                <w:szCs w:val="21"/>
              </w:rPr>
              <w:t>；</w:t>
            </w:r>
          </w:p>
          <w:p>
            <w:pPr>
              <w:snapToGrid w:val="0"/>
              <w:rPr>
                <w:rFonts w:ascii="Times New Roman" w:cs="Times New Roman"/>
                <w:sz w:val="21"/>
                <w:szCs w:val="21"/>
              </w:rPr>
            </w:pPr>
            <w:r>
              <w:rPr>
                <w:rFonts w:ascii="Times New Roman" w:cs="Times New Roman"/>
                <w:sz w:val="21"/>
                <w:szCs w:val="21"/>
              </w:rPr>
              <w:t xml:space="preserve">[2] </w:t>
            </w:r>
            <w:r>
              <w:rPr>
                <w:rFonts w:hint="eastAsia" w:ascii="Times New Roman" w:cs="Times New Roman"/>
                <w:sz w:val="21"/>
                <w:szCs w:val="21"/>
              </w:rPr>
              <w:t>吕贻忠</w:t>
            </w:r>
            <w:r>
              <w:rPr>
                <w:rFonts w:ascii="Times New Roman" w:cs="Times New Roman"/>
                <w:sz w:val="21"/>
                <w:szCs w:val="21"/>
              </w:rPr>
              <w:t>,</w:t>
            </w:r>
            <w:r>
              <w:rPr>
                <w:rFonts w:hint="eastAsia" w:ascii="Times New Roman" w:cs="Times New Roman"/>
                <w:sz w:val="21"/>
                <w:szCs w:val="21"/>
              </w:rPr>
              <w:t>李保国</w:t>
            </w:r>
            <w:r>
              <w:rPr>
                <w:rFonts w:ascii="Times New Roman" w:cs="Times New Roman"/>
                <w:sz w:val="21"/>
                <w:szCs w:val="21"/>
              </w:rPr>
              <w:t xml:space="preserve"> </w:t>
            </w:r>
            <w:r>
              <w:rPr>
                <w:rFonts w:hint="eastAsia" w:ascii="Times New Roman" w:cs="Times New Roman"/>
                <w:sz w:val="21"/>
                <w:szCs w:val="21"/>
              </w:rPr>
              <w:t>主编</w:t>
            </w:r>
            <w:r>
              <w:rPr>
                <w:rFonts w:ascii="Times New Roman" w:cs="Times New Roman"/>
                <w:sz w:val="21"/>
                <w:szCs w:val="21"/>
              </w:rPr>
              <w:t>.</w:t>
            </w:r>
            <w:r>
              <w:rPr>
                <w:rFonts w:hint="eastAsia" w:ascii="Times New Roman" w:cs="Times New Roman"/>
                <w:sz w:val="21"/>
                <w:szCs w:val="21"/>
              </w:rPr>
              <w:t>土壤学</w:t>
            </w:r>
            <w:r>
              <w:rPr>
                <w:rFonts w:ascii="Times New Roman" w:cs="Times New Roman"/>
                <w:sz w:val="21"/>
                <w:szCs w:val="21"/>
              </w:rPr>
              <w:t>[M].</w:t>
            </w:r>
            <w:r>
              <w:rPr>
                <w:rFonts w:hint="eastAsia" w:ascii="Times New Roman" w:cs="Times New Roman"/>
                <w:sz w:val="21"/>
                <w:szCs w:val="21"/>
              </w:rPr>
              <w:t>北京：中国农业出版社，</w:t>
            </w:r>
            <w:r>
              <w:rPr>
                <w:rFonts w:ascii="Times New Roman" w:cs="Times New Roman"/>
                <w:sz w:val="21"/>
                <w:szCs w:val="21"/>
              </w:rPr>
              <w:t>2006</w:t>
            </w:r>
            <w:r>
              <w:rPr>
                <w:rFonts w:hint="eastAsia" w:ascii="Times New Roman" w:cs="Times New Roman"/>
                <w:sz w:val="21"/>
                <w:szCs w:val="21"/>
              </w:rPr>
              <w:t>；</w:t>
            </w:r>
          </w:p>
          <w:p>
            <w:pPr>
              <w:snapToGrid w:val="0"/>
              <w:rPr>
                <w:rFonts w:ascii="Times New Roman" w:cs="Times New Roman"/>
                <w:sz w:val="21"/>
                <w:szCs w:val="21"/>
              </w:rPr>
            </w:pPr>
            <w:r>
              <w:rPr>
                <w:rFonts w:ascii="Times New Roman" w:cs="Times New Roman"/>
                <w:sz w:val="21"/>
                <w:szCs w:val="21"/>
              </w:rPr>
              <w:t xml:space="preserve">[3] </w:t>
            </w:r>
            <w:r>
              <w:rPr>
                <w:rFonts w:hint="eastAsia" w:ascii="Times New Roman" w:cs="Times New Roman"/>
                <w:sz w:val="21"/>
                <w:szCs w:val="21"/>
              </w:rPr>
              <w:t>吴启堂</w:t>
            </w:r>
            <w:r>
              <w:rPr>
                <w:rFonts w:ascii="Times New Roman" w:cs="Times New Roman"/>
                <w:sz w:val="21"/>
                <w:szCs w:val="21"/>
              </w:rPr>
              <w:t xml:space="preserve"> </w:t>
            </w:r>
            <w:r>
              <w:rPr>
                <w:rFonts w:hint="eastAsia" w:ascii="Times New Roman" w:cs="Times New Roman"/>
                <w:sz w:val="21"/>
                <w:szCs w:val="21"/>
              </w:rPr>
              <w:t>主编</w:t>
            </w:r>
            <w:r>
              <w:rPr>
                <w:rFonts w:ascii="Times New Roman" w:cs="Times New Roman"/>
                <w:sz w:val="21"/>
                <w:szCs w:val="21"/>
              </w:rPr>
              <w:t>.</w:t>
            </w:r>
            <w:r>
              <w:rPr>
                <w:rFonts w:hint="eastAsia" w:ascii="Times New Roman" w:cs="Times New Roman"/>
                <w:sz w:val="21"/>
                <w:szCs w:val="21"/>
              </w:rPr>
              <w:t>环境土壤学</w:t>
            </w:r>
            <w:r>
              <w:rPr>
                <w:rFonts w:ascii="Times New Roman" w:cs="Times New Roman"/>
                <w:sz w:val="21"/>
                <w:szCs w:val="21"/>
              </w:rPr>
              <w:t>[M].</w:t>
            </w:r>
            <w:r>
              <w:rPr>
                <w:rFonts w:hint="eastAsia" w:ascii="Times New Roman" w:cs="Times New Roman"/>
                <w:sz w:val="21"/>
                <w:szCs w:val="21"/>
              </w:rPr>
              <w:t>北京：中国农业出版社，</w:t>
            </w:r>
            <w:r>
              <w:rPr>
                <w:rFonts w:ascii="Times New Roman" w:cs="Times New Roman"/>
                <w:sz w:val="21"/>
                <w:szCs w:val="21"/>
              </w:rPr>
              <w:t>2011</w:t>
            </w:r>
            <w:r>
              <w:rPr>
                <w:rFonts w:hint="eastAsia" w:ascii="Times New Roman" w:cs="Times New Roman"/>
                <w:sz w:val="21"/>
                <w:szCs w:val="21"/>
              </w:rPr>
              <w:t>；</w:t>
            </w:r>
          </w:p>
          <w:p>
            <w:pPr>
              <w:snapToGrid w:val="0"/>
              <w:rPr>
                <w:rFonts w:ascii="Times New Roman" w:cs="Times New Roman"/>
                <w:sz w:val="21"/>
                <w:szCs w:val="21"/>
              </w:rPr>
            </w:pPr>
            <w:r>
              <w:rPr>
                <w:rFonts w:ascii="Times New Roman" w:cs="Times New Roman"/>
                <w:sz w:val="21"/>
                <w:szCs w:val="21"/>
              </w:rPr>
              <w:t xml:space="preserve">[4] </w:t>
            </w:r>
            <w:r>
              <w:rPr>
                <w:rFonts w:hint="eastAsia" w:ascii="Times New Roman" w:cs="Times New Roman"/>
                <w:sz w:val="21"/>
                <w:szCs w:val="21"/>
              </w:rPr>
              <w:t>陈怀满等</w:t>
            </w:r>
            <w:r>
              <w:rPr>
                <w:rFonts w:ascii="Times New Roman" w:cs="Times New Roman"/>
                <w:sz w:val="21"/>
                <w:szCs w:val="21"/>
              </w:rPr>
              <w:t xml:space="preserve"> </w:t>
            </w:r>
            <w:r>
              <w:rPr>
                <w:rFonts w:hint="eastAsia" w:ascii="Times New Roman" w:cs="Times New Roman"/>
                <w:sz w:val="21"/>
                <w:szCs w:val="21"/>
              </w:rPr>
              <w:t>编著</w:t>
            </w:r>
            <w:r>
              <w:rPr>
                <w:rFonts w:ascii="Times New Roman" w:cs="Times New Roman"/>
                <w:sz w:val="21"/>
                <w:szCs w:val="21"/>
              </w:rPr>
              <w:t>.</w:t>
            </w:r>
            <w:r>
              <w:rPr>
                <w:rFonts w:hint="eastAsia" w:ascii="Times New Roman" w:cs="Times New Roman"/>
                <w:sz w:val="21"/>
                <w:szCs w:val="21"/>
              </w:rPr>
              <w:t>环境土壤学</w:t>
            </w:r>
            <w:r>
              <w:rPr>
                <w:rFonts w:ascii="Times New Roman" w:cs="Times New Roman"/>
                <w:sz w:val="21"/>
                <w:szCs w:val="21"/>
              </w:rPr>
              <w:t>(</w:t>
            </w:r>
            <w:r>
              <w:rPr>
                <w:rFonts w:hint="eastAsia" w:ascii="Times New Roman" w:cs="Times New Roman"/>
                <w:sz w:val="21"/>
                <w:szCs w:val="21"/>
              </w:rPr>
              <w:t>第二版</w:t>
            </w:r>
            <w:r>
              <w:rPr>
                <w:rFonts w:ascii="Times New Roman" w:cs="Times New Roman"/>
                <w:sz w:val="21"/>
                <w:szCs w:val="21"/>
              </w:rPr>
              <w:t>)[M].</w:t>
            </w:r>
            <w:r>
              <w:rPr>
                <w:rFonts w:hint="eastAsia" w:ascii="Times New Roman" w:cs="Times New Roman"/>
                <w:sz w:val="21"/>
                <w:szCs w:val="21"/>
              </w:rPr>
              <w:t>北京：科学出版社，</w:t>
            </w:r>
            <w:r>
              <w:rPr>
                <w:rFonts w:ascii="Times New Roman" w:cs="Times New Roman"/>
                <w:sz w:val="21"/>
                <w:szCs w:val="21"/>
              </w:rPr>
              <w:t>2010</w:t>
            </w:r>
            <w:r>
              <w:rPr>
                <w:rFonts w:hint="eastAsia" w:ascii="Times New Roman" w:cs="Times New Roman"/>
                <w:sz w:val="21"/>
                <w:szCs w:val="21"/>
              </w:rPr>
              <w:t>；</w:t>
            </w:r>
          </w:p>
          <w:p>
            <w:pPr>
              <w:snapToGrid w:val="0"/>
              <w:rPr>
                <w:rFonts w:ascii="Times New Roman" w:cs="Times New Roman"/>
                <w:color w:val="FF0000"/>
                <w:sz w:val="21"/>
                <w:szCs w:val="21"/>
              </w:rPr>
            </w:pPr>
            <w:r>
              <w:rPr>
                <w:rFonts w:ascii="Times New Roman" w:cs="Times New Roman"/>
                <w:sz w:val="21"/>
                <w:szCs w:val="21"/>
              </w:rPr>
              <w:t xml:space="preserve">[5] </w:t>
            </w:r>
            <w:r>
              <w:rPr>
                <w:rFonts w:hint="eastAsia" w:ascii="Times New Roman" w:cs="Times New Roman"/>
                <w:sz w:val="21"/>
                <w:szCs w:val="21"/>
              </w:rPr>
              <w:t>陈怀满</w:t>
            </w:r>
            <w:r>
              <w:rPr>
                <w:rFonts w:ascii="Times New Roman" w:cs="Times New Roman"/>
                <w:sz w:val="21"/>
                <w:szCs w:val="21"/>
              </w:rPr>
              <w:t xml:space="preserve"> </w:t>
            </w:r>
            <w:r>
              <w:rPr>
                <w:rFonts w:hint="eastAsia" w:ascii="Times New Roman" w:cs="Times New Roman"/>
                <w:sz w:val="21"/>
                <w:szCs w:val="21"/>
              </w:rPr>
              <w:t>主编</w:t>
            </w:r>
            <w:r>
              <w:rPr>
                <w:rFonts w:ascii="Times New Roman" w:cs="Times New Roman"/>
                <w:sz w:val="21"/>
                <w:szCs w:val="21"/>
              </w:rPr>
              <w:t>.</w:t>
            </w:r>
            <w:r>
              <w:rPr>
                <w:rFonts w:hint="eastAsia" w:ascii="Times New Roman" w:cs="Times New Roman"/>
                <w:sz w:val="21"/>
                <w:szCs w:val="21"/>
              </w:rPr>
              <w:t>土壤中化学物质的行为与环境质量</w:t>
            </w:r>
            <w:r>
              <w:rPr>
                <w:rFonts w:ascii="Times New Roman" w:cs="Times New Roman"/>
                <w:sz w:val="21"/>
                <w:szCs w:val="21"/>
              </w:rPr>
              <w:t>[M].</w:t>
            </w:r>
            <w:r>
              <w:rPr>
                <w:rFonts w:hint="eastAsia" w:ascii="Times New Roman" w:cs="Times New Roman"/>
                <w:sz w:val="21"/>
                <w:szCs w:val="21"/>
              </w:rPr>
              <w:t>北京：科学出版社</w:t>
            </w:r>
            <w:r>
              <w:rPr>
                <w:rFonts w:ascii="Times New Roman" w:cs="Times New Roman"/>
                <w:sz w:val="21"/>
                <w:szCs w:val="21"/>
              </w:rPr>
              <w:t>,2002</w:t>
            </w:r>
            <w:r>
              <w:rPr>
                <w:rFonts w:hint="eastAsia" w:asci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ascii="Times New Roman" w:cs="Times New Roman"/>
                <w:b/>
                <w:kern w:val="2"/>
                <w:sz w:val="21"/>
                <w:szCs w:val="21"/>
                <w:lang w:bidi="ar"/>
              </w:rPr>
            </w:pPr>
            <w:r>
              <w:rPr>
                <w:rFonts w:hint="eastAsia" w:ascii="Times New Roman" w:cs="Times New Roman"/>
                <w:b/>
                <w:kern w:val="2"/>
                <w:sz w:val="21"/>
                <w:szCs w:val="21"/>
                <w:lang w:bidi="ar"/>
              </w:rPr>
              <w:t>课程资源</w:t>
            </w:r>
          </w:p>
        </w:tc>
        <w:tc>
          <w:tcPr>
            <w:tcW w:w="4201" w:type="pct"/>
            <w:gridSpan w:val="7"/>
            <w:vAlign w:val="center"/>
          </w:tcPr>
          <w:p>
            <w:pPr>
              <w:snapToGrid w:val="0"/>
              <w:rPr>
                <w:rFonts w:ascii="Times New Roman" w:cs="Times New Roman"/>
                <w:sz w:val="21"/>
                <w:szCs w:val="21"/>
              </w:rPr>
            </w:pPr>
            <w:r>
              <w:rPr>
                <w:rFonts w:hint="eastAsia" w:ascii="Times New Roman" w:cs="Times New Roman"/>
                <w:sz w:val="21"/>
                <w:szCs w:val="21"/>
              </w:rPr>
              <w:t>学生自主学习过程中可多参阅以下网页：</w:t>
            </w:r>
          </w:p>
          <w:p>
            <w:pPr>
              <w:snapToGrid w:val="0"/>
              <w:rPr>
                <w:rFonts w:ascii="Times New Roman" w:cs="Times New Roman"/>
                <w:sz w:val="21"/>
                <w:szCs w:val="21"/>
              </w:rPr>
            </w:pPr>
            <w:r>
              <w:rPr>
                <w:rFonts w:hint="eastAsia" w:ascii="Times New Roman" w:cs="Times New Roman"/>
                <w:sz w:val="21"/>
                <w:szCs w:val="21"/>
              </w:rPr>
              <w:t>生态环境部网站（</w:t>
            </w:r>
            <w:r>
              <w:rPr>
                <w:rFonts w:ascii="Times New Roman" w:cs="Times New Roman"/>
                <w:sz w:val="21"/>
                <w:szCs w:val="21"/>
              </w:rPr>
              <w:t>http://www.mee.gov.cn/</w:t>
            </w:r>
            <w:r>
              <w:rPr>
                <w:rFonts w:hint="eastAsia" w:ascii="Times New Roman" w:cs="Times New Roman"/>
                <w:sz w:val="21"/>
                <w:szCs w:val="21"/>
              </w:rPr>
              <w:t>）</w:t>
            </w:r>
          </w:p>
          <w:p>
            <w:pPr>
              <w:snapToGrid w:val="0"/>
              <w:rPr>
                <w:rFonts w:ascii="Times New Roman" w:cs="Times New Roman"/>
                <w:sz w:val="21"/>
                <w:szCs w:val="21"/>
              </w:rPr>
            </w:pPr>
            <w:r>
              <w:rPr>
                <w:rFonts w:hint="eastAsia" w:ascii="Times New Roman" w:cs="Times New Roman"/>
                <w:sz w:val="21"/>
                <w:szCs w:val="21"/>
              </w:rPr>
              <w:t>生态修复网（</w:t>
            </w:r>
            <w:r>
              <w:fldChar w:fldCharType="begin"/>
            </w:r>
            <w:r>
              <w:instrText xml:space="preserve"> HYPERLINK "Http://www.china-cia.com/）" </w:instrText>
            </w:r>
            <w:r>
              <w:fldChar w:fldCharType="separate"/>
            </w:r>
            <w:r>
              <w:rPr>
                <w:rFonts w:ascii="Times New Roman" w:cs="Times New Roman"/>
                <w:sz w:val="21"/>
                <w:szCs w:val="21"/>
              </w:rPr>
              <w:t>http://www.er-china.com//</w:t>
            </w:r>
            <w:r>
              <w:rPr>
                <w:rFonts w:hint="eastAsia" w:ascii="Times New Roman" w:cs="Times New Roman"/>
                <w:sz w:val="21"/>
                <w:szCs w:val="21"/>
              </w:rPr>
              <w:t>）</w:t>
            </w:r>
            <w:r>
              <w:rPr>
                <w:rFonts w:hint="eastAsia" w:ascii="Times New Roman" w:cs="Times New Roman"/>
                <w:sz w:val="21"/>
                <w:szCs w:val="21"/>
              </w:rPr>
              <w:fldChar w:fldCharType="end"/>
            </w:r>
          </w:p>
          <w:p>
            <w:pPr>
              <w:snapToGrid w:val="0"/>
              <w:rPr>
                <w:rFonts w:ascii="Times New Roman" w:cs="Times New Roman"/>
                <w:color w:val="FF0000"/>
                <w:sz w:val="21"/>
                <w:szCs w:val="21"/>
              </w:rPr>
            </w:pPr>
            <w:r>
              <w:rPr>
                <w:rFonts w:hint="eastAsia" w:ascii="Times New Roman" w:cs="Times New Roman"/>
                <w:sz w:val="21"/>
                <w:szCs w:val="21"/>
              </w:rPr>
              <w:t>北极星环保网（</w:t>
            </w:r>
            <w:r>
              <w:rPr>
                <w:rFonts w:ascii="Times New Roman" w:cs="Times New Roman"/>
                <w:sz w:val="21"/>
                <w:szCs w:val="21"/>
              </w:rPr>
              <w:t>http://huanbao.bjx.com.cn/</w:t>
            </w:r>
            <w:r>
              <w:rPr>
                <w:rFonts w:hint="eastAsia" w:asci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bottom w:val="single" w:color="auto" w:sz="12" w:space="0"/>
            </w:tcBorders>
            <w:vAlign w:val="center"/>
          </w:tcPr>
          <w:p>
            <w:pPr>
              <w:snapToGrid w:val="0"/>
              <w:jc w:val="center"/>
              <w:rPr>
                <w:rFonts w:ascii="Times New Roman" w:cs="Times New Roman"/>
                <w:kern w:val="2"/>
                <w:sz w:val="21"/>
                <w:szCs w:val="21"/>
              </w:rPr>
            </w:pPr>
            <w:r>
              <w:rPr>
                <w:rFonts w:hint="eastAsia" w:ascii="Times New Roman" w:cs="Times New Roman"/>
                <w:b/>
                <w:kern w:val="2"/>
                <w:sz w:val="21"/>
                <w:szCs w:val="21"/>
                <w:lang w:bidi="ar"/>
              </w:rPr>
              <w:t>课程简介</w:t>
            </w:r>
          </w:p>
        </w:tc>
        <w:tc>
          <w:tcPr>
            <w:tcW w:w="4201" w:type="pct"/>
            <w:gridSpan w:val="7"/>
            <w:tcBorders>
              <w:bottom w:val="single" w:color="auto" w:sz="12" w:space="0"/>
            </w:tcBorders>
            <w:vAlign w:val="center"/>
          </w:tcPr>
          <w:p>
            <w:pPr>
              <w:autoSpaceDE/>
              <w:autoSpaceDN/>
              <w:adjustRightInd/>
              <w:rPr>
                <w:rStyle w:val="30"/>
              </w:rPr>
            </w:pPr>
            <w:r>
              <w:rPr>
                <w:rFonts w:hint="eastAsia" w:ascii="Times New Roman" w:cs="Times New Roman"/>
                <w:sz w:val="21"/>
                <w:szCs w:val="21"/>
                <w:shd w:val="clear" w:color="auto" w:fill="FFFFFF"/>
              </w:rPr>
              <w:t>《土壤修复技术》是环境生态工程学科的主要分支之一。本课程着重讲授了土壤污染诊断和土壤修复技术的方法，以及当前主要土壤污染类型的控制方法；结合环境生态工程专业特点，较全面地讲授了土壤污染物理修复，化学修复及生物修复的原理及方法。本课程对环境生态工程专业学生深入理解和掌握土壤污染修复技术及工程设计要领有重要作用。通过本课程的学习，要求学生掌握土壤污染修复的基本理论和知识，并能结合生产实际进行具体应用；熟悉各种物理，化学和生物方法在土壤污染修复领域的应用与发展；了解国内外土壤污染控制与修复研究的最新进展。此课程是依托专业教育开展劳动教育的课程。</w:t>
            </w:r>
          </w:p>
        </w:tc>
      </w:tr>
    </w:tbl>
    <w:p>
      <w:pPr>
        <w:spacing w:line="360" w:lineRule="auto"/>
        <w:rPr>
          <w:rFonts w:ascii="Times New Roman" w:eastAsia="明黑等宽" w:cs="Times New Roman"/>
          <w:b/>
          <w:sz w:val="28"/>
          <w:szCs w:val="28"/>
        </w:rPr>
      </w:pPr>
    </w:p>
    <w:p>
      <w:pPr>
        <w:snapToGrid w:val="0"/>
        <w:spacing w:line="360" w:lineRule="auto"/>
        <w:rPr>
          <w:rFonts w:ascii="Times New Roman" w:eastAsia="黑体" w:cs="Times New Roman"/>
          <w:b/>
          <w:sz w:val="28"/>
          <w:szCs w:val="28"/>
        </w:rPr>
      </w:pPr>
    </w:p>
    <w:p>
      <w:pPr>
        <w:snapToGrid w:val="0"/>
        <w:spacing w:line="360" w:lineRule="auto"/>
        <w:rPr>
          <w:rFonts w:ascii="Times New Roman" w:eastAsia="黑体" w:cs="Times New Roman"/>
          <w:b/>
          <w:sz w:val="28"/>
          <w:szCs w:val="28"/>
        </w:rPr>
      </w:pPr>
    </w:p>
    <w:p>
      <w:pPr>
        <w:snapToGrid w:val="0"/>
        <w:spacing w:line="360" w:lineRule="auto"/>
        <w:rPr>
          <w:rFonts w:ascii="Times New Roman" w:cs="Times New Roman"/>
          <w:b/>
          <w:sz w:val="21"/>
          <w:szCs w:val="21"/>
        </w:rPr>
      </w:pPr>
      <w:r>
        <w:rPr>
          <w:rFonts w:hint="eastAsia" w:ascii="Times New Roman" w:eastAsia="黑体" w:cs="Times New Roman"/>
          <w:b/>
          <w:sz w:val="28"/>
          <w:szCs w:val="28"/>
        </w:rPr>
        <w:t>二、课程目标</w:t>
      </w:r>
    </w:p>
    <w:p>
      <w:pPr>
        <w:pStyle w:val="47"/>
        <w:spacing w:line="320" w:lineRule="exact"/>
        <w:ind w:left="420" w:firstLine="0"/>
        <w:jc w:val="center"/>
        <w:rPr>
          <w:rFonts w:ascii="Times New Roman" w:cs="Times New Roman"/>
          <w:b/>
          <w:szCs w:val="21"/>
        </w:rPr>
      </w:pPr>
      <w:r>
        <w:rPr>
          <w:rFonts w:hint="eastAsia" w:ascii="Times New Roman" w:cs="Times New Roman"/>
          <w:b/>
          <w:sz w:val="21"/>
          <w:szCs w:val="21"/>
        </w:rPr>
        <w:t>表</w:t>
      </w:r>
      <w:r>
        <w:rPr>
          <w:rFonts w:ascii="Times New Roman" w:cs="Times New Roman"/>
          <w:b/>
          <w:sz w:val="21"/>
          <w:szCs w:val="21"/>
        </w:rPr>
        <w:t xml:space="preserve"> 1  </w:t>
      </w:r>
      <w:r>
        <w:rPr>
          <w:rFonts w:hint="eastAsia" w:ascii="Times New Roman" w:cs="Times New Roman"/>
          <w:b/>
          <w:sz w:val="21"/>
          <w:szCs w:val="21"/>
        </w:rPr>
        <w:t>课程目标</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725" w:type="pct"/>
          </w:tcPr>
          <w:p>
            <w:pPr>
              <w:widowControl/>
              <w:snapToGrid w:val="0"/>
              <w:spacing w:line="400" w:lineRule="exact"/>
              <w:jc w:val="center"/>
              <w:rPr>
                <w:rFonts w:ascii="Times New Roman" w:cs="Times New Roman"/>
                <w:b/>
                <w:color w:val="000000"/>
                <w:sz w:val="21"/>
                <w:szCs w:val="21"/>
              </w:rPr>
            </w:pPr>
            <w:r>
              <w:rPr>
                <w:rFonts w:hint="eastAsia" w:ascii="Times New Roman" w:cs="Times New Roman"/>
                <w:b/>
                <w:color w:val="000000"/>
                <w:sz w:val="21"/>
                <w:szCs w:val="21"/>
              </w:rPr>
              <w:t>序号</w:t>
            </w:r>
          </w:p>
        </w:tc>
        <w:tc>
          <w:tcPr>
            <w:tcW w:w="4274" w:type="pct"/>
          </w:tcPr>
          <w:p>
            <w:pPr>
              <w:widowControl/>
              <w:snapToGrid w:val="0"/>
              <w:spacing w:line="400" w:lineRule="exact"/>
              <w:jc w:val="center"/>
              <w:rPr>
                <w:rFonts w:ascii="Times New Roman" w:cs="Times New Roman"/>
                <w:b/>
                <w:color w:val="000000"/>
                <w:sz w:val="21"/>
                <w:szCs w:val="21"/>
              </w:rPr>
            </w:pPr>
            <w:r>
              <w:rPr>
                <w:rFonts w:hint="eastAsia" w:ascii="Times New Roman" w:cs="Times New Roman"/>
                <w:b/>
                <w:color w:val="000000"/>
                <w:sz w:val="21"/>
                <w:szCs w:val="21"/>
              </w:rPr>
              <w:t>具体课程目标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exact"/>
        </w:trPr>
        <w:tc>
          <w:tcPr>
            <w:tcW w:w="725" w:type="pct"/>
          </w:tcPr>
          <w:p>
            <w:pPr>
              <w:widowControl/>
              <w:snapToGrid w:val="0"/>
              <w:spacing w:line="400" w:lineRule="exact"/>
              <w:rPr>
                <w:rFonts w:ascii="Times New Roman" w:cs="Times New Roman"/>
                <w:color w:val="000000"/>
                <w:sz w:val="21"/>
                <w:szCs w:val="21"/>
              </w:rPr>
            </w:pPr>
            <w:r>
              <w:rPr>
                <w:rFonts w:hint="eastAsia" w:ascii="Times New Roman" w:cs="Times New Roman"/>
                <w:b/>
                <w:color w:val="000000"/>
                <w:sz w:val="21"/>
                <w:szCs w:val="21"/>
              </w:rPr>
              <w:t>课程目标</w:t>
            </w:r>
            <w:r>
              <w:rPr>
                <w:rFonts w:ascii="Times New Roman" w:cs="Times New Roman"/>
                <w:b/>
                <w:color w:val="000000"/>
                <w:sz w:val="21"/>
                <w:szCs w:val="21"/>
              </w:rPr>
              <w:t xml:space="preserve"> 1</w:t>
            </w:r>
          </w:p>
        </w:tc>
        <w:tc>
          <w:tcPr>
            <w:tcW w:w="4274" w:type="pct"/>
          </w:tcPr>
          <w:p>
            <w:pPr>
              <w:widowControl/>
              <w:snapToGrid w:val="0"/>
              <w:spacing w:line="400" w:lineRule="exact"/>
              <w:rPr>
                <w:rFonts w:ascii="Times New Roman"/>
                <w:color w:val="000000"/>
              </w:rPr>
            </w:pPr>
          </w:p>
          <w:p>
            <w:pPr>
              <w:widowControl/>
              <w:snapToGrid w:val="0"/>
              <w:spacing w:line="400" w:lineRule="exact"/>
              <w:rPr>
                <w:rFonts w:ascii="Times New Roman"/>
                <w:color w:val="000000"/>
              </w:rPr>
            </w:pPr>
            <w:r>
              <w:rPr>
                <w:rFonts w:hint="eastAsia" w:ascii="Times New Roman" w:cs="Times New Roman"/>
                <w:color w:val="000000"/>
                <w:sz w:val="21"/>
                <w:szCs w:val="21"/>
              </w:rPr>
              <w:t>具备较强的概括能力、逻辑推理能力和独立思考能力；理解土壤修复技术的基本思想和方法，并能够运用土壤修复技术学知识、思想和方法去认识、表达和分析环境科学领域中污染土壤修复相关实际问题。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725" w:type="pct"/>
          </w:tcPr>
          <w:p>
            <w:pPr>
              <w:widowControl/>
              <w:snapToGrid w:val="0"/>
              <w:spacing w:line="400" w:lineRule="exact"/>
              <w:rPr>
                <w:rFonts w:ascii="Times New Roman" w:cs="Times New Roman"/>
                <w:b/>
                <w:color w:val="000000"/>
                <w:sz w:val="21"/>
                <w:szCs w:val="21"/>
              </w:rPr>
            </w:pPr>
            <w:r>
              <w:rPr>
                <w:rFonts w:hint="eastAsia" w:ascii="Times New Roman" w:cs="Times New Roman"/>
                <w:b/>
                <w:color w:val="000000"/>
                <w:sz w:val="21"/>
                <w:szCs w:val="21"/>
              </w:rPr>
              <w:t>课程目标</w:t>
            </w:r>
            <w:r>
              <w:rPr>
                <w:rFonts w:ascii="Times New Roman" w:cs="Times New Roman"/>
                <w:b/>
                <w:color w:val="000000"/>
                <w:sz w:val="21"/>
                <w:szCs w:val="21"/>
              </w:rPr>
              <w:t xml:space="preserve"> 2</w:t>
            </w:r>
          </w:p>
        </w:tc>
        <w:tc>
          <w:tcPr>
            <w:tcW w:w="4274" w:type="pct"/>
          </w:tcPr>
          <w:p>
            <w:pPr>
              <w:widowControl/>
              <w:snapToGrid w:val="0"/>
              <w:spacing w:line="400" w:lineRule="exact"/>
              <w:rPr>
                <w:rFonts w:ascii="Times New Roman"/>
                <w:color w:val="000000"/>
              </w:rPr>
            </w:pPr>
            <w:r>
              <w:rPr>
                <w:rFonts w:hint="eastAsia" w:ascii="Times New Roman" w:cs="Times New Roman"/>
                <w:color w:val="000000"/>
                <w:sz w:val="21"/>
                <w:szCs w:val="21"/>
              </w:rPr>
              <w:t>能够理解和灵活运用土壤学的基本理论和基础知识，习得土壤修复技术的基本技能，以学习任务为导向，通过对</w:t>
            </w:r>
            <w:r>
              <w:t>土壤、土壤环境、土壤污染特点</w:t>
            </w:r>
            <w:r>
              <w:rPr>
                <w:rFonts w:hint="eastAsia"/>
              </w:rPr>
              <w:t>的学习，</w:t>
            </w:r>
            <w:r>
              <w:rPr>
                <w:rFonts w:hint="eastAsia" w:ascii="Times New Roman" w:cs="Times New Roman"/>
                <w:color w:val="000000"/>
                <w:sz w:val="21"/>
                <w:szCs w:val="21"/>
              </w:rPr>
              <w:t>完成对</w:t>
            </w:r>
            <w:r>
              <w:rPr>
                <w:rFonts w:hAnsi="宋体"/>
              </w:rPr>
              <w:t>土壤环境污染调查、监测与评价</w:t>
            </w:r>
            <w:r>
              <w:rPr>
                <w:rFonts w:hint="eastAsia" w:ascii="Times New Roman" w:cs="Times New Roman"/>
                <w:color w:val="000000"/>
                <w:sz w:val="21"/>
                <w:szCs w:val="21"/>
              </w:rPr>
              <w:t>的理解并能简单应用</w:t>
            </w:r>
            <w:r>
              <w:rPr>
                <w:rFonts w:hint="eastAsia" w:hAnsi="宋体"/>
              </w:rPr>
              <w:t>，</w:t>
            </w:r>
            <w:r>
              <w:rPr>
                <w:rFonts w:hint="eastAsia" w:ascii="Times New Roman" w:cs="Times New Roman"/>
                <w:color w:val="000000"/>
                <w:sz w:val="21"/>
                <w:szCs w:val="21"/>
              </w:rPr>
              <w:t>掌握</w:t>
            </w:r>
            <w:r>
              <w:rPr>
                <w:color w:val="000000"/>
              </w:rPr>
              <w:t>土壤修复的物理修复、化学修复、微生物及植物修复等修复技术方法</w:t>
            </w:r>
            <w:r>
              <w:rPr>
                <w:rFonts w:hint="eastAsia" w:ascii="Times New Roman" w:cs="Times New Roman"/>
                <w:color w:val="000000"/>
                <w:sz w:val="21"/>
                <w:szCs w:val="21"/>
              </w:rPr>
              <w:t>的一般原理并能熟练应用，了解</w:t>
            </w:r>
            <w:r>
              <w:rPr>
                <w:rFonts w:ascii="Times New Roman"/>
                <w:color w:val="000000"/>
              </w:rPr>
              <w:t>土壤修复工程现场施工的设施、设备和工艺流程</w:t>
            </w:r>
            <w:r>
              <w:rPr>
                <w:rFonts w:hint="eastAsia" w:ascii="Times New Roman" w:cs="Times New Roman"/>
                <w:color w:val="000000"/>
                <w:sz w:val="21"/>
                <w:szCs w:val="21"/>
              </w:rPr>
              <w:t>并能简单应用、并了解土壤污染治理与修复学科前沿和先进技术。</w:t>
            </w:r>
          </w:p>
          <w:p>
            <w:pPr>
              <w:widowControl/>
              <w:snapToGrid w:val="0"/>
              <w:spacing w:line="4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725" w:type="pct"/>
          </w:tcPr>
          <w:p>
            <w:pPr>
              <w:widowControl/>
              <w:snapToGrid w:val="0"/>
              <w:spacing w:line="400" w:lineRule="exact"/>
              <w:rPr>
                <w:rFonts w:ascii="Times New Roman" w:cs="Times New Roman"/>
                <w:b/>
                <w:color w:val="000000"/>
                <w:sz w:val="21"/>
                <w:szCs w:val="21"/>
              </w:rPr>
            </w:pPr>
            <w:r>
              <w:rPr>
                <w:rFonts w:hint="eastAsia" w:ascii="Times New Roman" w:cs="Times New Roman"/>
                <w:b/>
                <w:color w:val="000000"/>
                <w:sz w:val="21"/>
                <w:szCs w:val="21"/>
              </w:rPr>
              <w:t>课程目标</w:t>
            </w:r>
            <w:r>
              <w:rPr>
                <w:rFonts w:ascii="Times New Roman" w:cs="Times New Roman"/>
                <w:b/>
                <w:color w:val="000000"/>
                <w:sz w:val="21"/>
                <w:szCs w:val="21"/>
              </w:rPr>
              <w:t xml:space="preserve"> 3</w:t>
            </w:r>
          </w:p>
        </w:tc>
        <w:tc>
          <w:tcPr>
            <w:tcW w:w="4274" w:type="pct"/>
          </w:tcPr>
          <w:p>
            <w:pPr>
              <w:widowControl/>
              <w:snapToGrid w:val="0"/>
              <w:spacing w:line="400" w:lineRule="exact"/>
              <w:rPr>
                <w:color w:val="000000"/>
              </w:rPr>
            </w:pPr>
            <w:r>
              <w:rPr>
                <w:rFonts w:hint="eastAsia" w:ascii="Times New Roman" w:cs="Times New Roman"/>
                <w:color w:val="000000"/>
                <w:sz w:val="21"/>
                <w:szCs w:val="21"/>
              </w:rPr>
              <w:t>能陈述土壤修复技术的最新研究成果和发展趋势；针对环境科学领域中的污染土壤修复技术相关实际问题，能够综合运用土壤修复技术知识对其进行研究，并获得有效结论。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725" w:type="pct"/>
          </w:tcPr>
          <w:p>
            <w:pPr>
              <w:widowControl/>
              <w:snapToGrid w:val="0"/>
              <w:spacing w:line="400" w:lineRule="exact"/>
              <w:rPr>
                <w:rFonts w:ascii="Times New Roman" w:cs="Times New Roman"/>
                <w:b/>
                <w:color w:val="000000"/>
                <w:sz w:val="21"/>
                <w:szCs w:val="21"/>
              </w:rPr>
            </w:pPr>
            <w:r>
              <w:rPr>
                <w:rFonts w:hint="eastAsia" w:ascii="Times New Roman" w:cs="Times New Roman"/>
                <w:b/>
                <w:color w:val="000000"/>
                <w:sz w:val="21"/>
                <w:szCs w:val="21"/>
              </w:rPr>
              <w:t>课程目标</w:t>
            </w:r>
            <w:r>
              <w:rPr>
                <w:rFonts w:ascii="Times New Roman" w:cs="Times New Roman"/>
                <w:b/>
                <w:color w:val="000000"/>
                <w:sz w:val="21"/>
                <w:szCs w:val="21"/>
              </w:rPr>
              <w:t xml:space="preserve"> 4</w:t>
            </w:r>
          </w:p>
        </w:tc>
        <w:tc>
          <w:tcPr>
            <w:tcW w:w="4274" w:type="pct"/>
          </w:tcPr>
          <w:p>
            <w:pPr>
              <w:widowControl/>
              <w:snapToGrid w:val="0"/>
              <w:spacing w:line="400" w:lineRule="exact"/>
              <w:rPr>
                <w:rFonts w:hint="eastAsia" w:eastAsia="宋体"/>
                <w:color w:val="000000"/>
                <w:lang w:eastAsia="zh-CN"/>
              </w:rPr>
            </w:pPr>
            <w:r>
              <w:rPr>
                <w:rFonts w:hint="eastAsia" w:ascii="Times New Roman" w:cs="Times New Roman"/>
                <w:color w:val="000000"/>
                <w:sz w:val="21"/>
                <w:szCs w:val="21"/>
              </w:rPr>
              <w:t>自觉运用土壤修复技术学知识去解决实际问题，体会土壤学的学科价值；具有环保意识、</w:t>
            </w:r>
            <w:r>
              <w:rPr>
                <w:rFonts w:ascii="宋体" w:hAnsi="宋体" w:eastAsia="宋体" w:cs="宋体"/>
                <w:sz w:val="24"/>
                <w:szCs w:val="24"/>
              </w:rPr>
              <w:t>生态劳动意识</w:t>
            </w:r>
            <w:r>
              <w:rPr>
                <w:rFonts w:hint="eastAsia" w:ascii="Times New Roman" w:cs="Times New Roman"/>
                <w:color w:val="000000"/>
                <w:sz w:val="21"/>
                <w:szCs w:val="21"/>
              </w:rPr>
              <w:t>，树立爱国主义情怀、辨证唯物主义的科学世界观和正确的人生价值观。</w:t>
            </w:r>
          </w:p>
        </w:tc>
      </w:tr>
    </w:tbl>
    <w:p>
      <w:pPr>
        <w:pStyle w:val="47"/>
        <w:spacing w:line="320" w:lineRule="exact"/>
        <w:ind w:left="0" w:leftChars="0" w:firstLine="0" w:firstLineChars="0"/>
        <w:jc w:val="both"/>
        <w:rPr>
          <w:rFonts w:ascii="Times New Roman" w:cs="Times New Roman"/>
          <w:b/>
          <w:sz w:val="21"/>
          <w:szCs w:val="21"/>
        </w:rPr>
      </w:pPr>
    </w:p>
    <w:p>
      <w:pPr>
        <w:pStyle w:val="47"/>
        <w:spacing w:line="320" w:lineRule="exact"/>
        <w:ind w:left="420" w:firstLine="0"/>
        <w:jc w:val="center"/>
        <w:rPr>
          <w:rFonts w:ascii="Times New Roman" w:cs="Times New Roman"/>
          <w:b/>
          <w:sz w:val="21"/>
          <w:szCs w:val="21"/>
        </w:rPr>
      </w:pPr>
      <w:r>
        <w:rPr>
          <w:rFonts w:hint="eastAsia" w:ascii="Times New Roman" w:cs="Times New Roman"/>
          <w:b/>
          <w:sz w:val="21"/>
          <w:szCs w:val="21"/>
        </w:rPr>
        <w:t>表</w:t>
      </w:r>
      <w:r>
        <w:rPr>
          <w:rFonts w:ascii="Times New Roman" w:cs="Times New Roman"/>
          <w:b/>
          <w:sz w:val="21"/>
          <w:szCs w:val="21"/>
        </w:rPr>
        <w:t xml:space="preserve">2-1 </w:t>
      </w:r>
      <w:r>
        <w:rPr>
          <w:rFonts w:hint="eastAsia" w:ascii="Times New Roman" w:cs="Times New Roman"/>
          <w:b/>
          <w:sz w:val="21"/>
          <w:szCs w:val="21"/>
        </w:rPr>
        <w:t>课程目标与毕业要求对应关系</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575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491" w:type="pct"/>
            <w:vAlign w:val="center"/>
          </w:tcPr>
          <w:p>
            <w:pPr>
              <w:snapToGrid w:val="0"/>
              <w:jc w:val="center"/>
              <w:rPr>
                <w:rFonts w:ascii="Times New Roman" w:cs="Times New Roman"/>
                <w:b/>
                <w:color w:val="000000"/>
                <w:sz w:val="21"/>
                <w:szCs w:val="21"/>
              </w:rPr>
            </w:pPr>
            <w:r>
              <w:rPr>
                <w:rFonts w:hint="eastAsia" w:ascii="Times New Roman" w:cs="Times New Roman"/>
                <w:b/>
                <w:color w:val="000000"/>
                <w:sz w:val="21"/>
                <w:szCs w:val="21"/>
              </w:rPr>
              <w:t>毕业要求</w:t>
            </w:r>
          </w:p>
        </w:tc>
        <w:tc>
          <w:tcPr>
            <w:tcW w:w="3098" w:type="pct"/>
            <w:vAlign w:val="center"/>
          </w:tcPr>
          <w:p>
            <w:pPr>
              <w:snapToGrid w:val="0"/>
              <w:jc w:val="center"/>
              <w:rPr>
                <w:rFonts w:ascii="Times New Roman" w:cs="Times New Roman"/>
                <w:b/>
                <w:color w:val="000000"/>
                <w:sz w:val="21"/>
                <w:szCs w:val="21"/>
              </w:rPr>
            </w:pPr>
            <w:r>
              <w:rPr>
                <w:rFonts w:hint="eastAsia" w:ascii="Times New Roman" w:cs="Times New Roman"/>
                <w:b/>
                <w:color w:val="000000"/>
                <w:sz w:val="21"/>
                <w:szCs w:val="21"/>
              </w:rPr>
              <w:t>指标点</w:t>
            </w:r>
          </w:p>
        </w:tc>
        <w:tc>
          <w:tcPr>
            <w:tcW w:w="410" w:type="pct"/>
            <w:vAlign w:val="center"/>
          </w:tcPr>
          <w:p>
            <w:pPr>
              <w:snapToGrid w:val="0"/>
              <w:jc w:val="center"/>
              <w:rPr>
                <w:rFonts w:ascii="Times New Roman" w:cs="Times New Roman"/>
                <w:b/>
                <w:color w:val="000000"/>
                <w:sz w:val="21"/>
                <w:szCs w:val="21"/>
              </w:rPr>
            </w:pPr>
            <w:r>
              <w:rPr>
                <w:rFonts w:hint="eastAsia" w:ascii="Times New Roman" w:cs="Times New Roman"/>
                <w:b/>
                <w:color w:val="000000"/>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91" w:type="pct"/>
            <w:vAlign w:val="center"/>
          </w:tcPr>
          <w:p>
            <w:pPr>
              <w:spacing w:line="360" w:lineRule="auto"/>
              <w:rPr>
                <w:rFonts w:ascii="Times New Roman" w:cs="Times New Roman"/>
                <w:color w:val="000000"/>
                <w:sz w:val="21"/>
                <w:szCs w:val="21"/>
              </w:rPr>
            </w:pPr>
            <w:r>
              <w:rPr>
                <w:rFonts w:hint="eastAsia" w:ascii="Times New Roman" w:cs="Times New Roman"/>
                <w:b/>
                <w:color w:val="000000"/>
                <w:sz w:val="21"/>
                <w:szCs w:val="21"/>
              </w:rPr>
              <w:t>毕业要求2：</w:t>
            </w:r>
            <w:r>
              <w:rPr>
                <w:rFonts w:hint="eastAsia" w:hAnsi="宋体"/>
                <w:color w:val="000000"/>
                <w:szCs w:val="21"/>
              </w:rPr>
              <w:t>问题分析</w:t>
            </w:r>
            <w:r>
              <w:rPr>
                <w:rFonts w:hint="eastAsia" w:ascii="Times New Roman" w:cs="Times New Roman"/>
                <w:color w:val="000000"/>
                <w:sz w:val="21"/>
                <w:szCs w:val="21"/>
              </w:rPr>
              <w:t>【</w:t>
            </w:r>
            <w:r>
              <w:rPr>
                <w:rFonts w:ascii="Times New Roman" w:cs="Times New Roman"/>
                <w:color w:val="000000"/>
                <w:sz w:val="21"/>
                <w:szCs w:val="21"/>
              </w:rPr>
              <w:t>H</w:t>
            </w:r>
            <w:r>
              <w:rPr>
                <w:rFonts w:hint="eastAsia" w:ascii="Times New Roman" w:cs="Times New Roman"/>
                <w:color w:val="000000"/>
                <w:sz w:val="21"/>
                <w:szCs w:val="21"/>
              </w:rPr>
              <w:t>】</w:t>
            </w:r>
          </w:p>
        </w:tc>
        <w:tc>
          <w:tcPr>
            <w:tcW w:w="3098" w:type="pct"/>
            <w:vAlign w:val="center"/>
          </w:tcPr>
          <w:p>
            <w:pPr>
              <w:spacing w:line="360" w:lineRule="auto"/>
              <w:rPr>
                <w:rFonts w:hAnsi="宋体"/>
                <w:color w:val="000000"/>
                <w:szCs w:val="21"/>
              </w:rPr>
            </w:pPr>
            <w:r>
              <w:rPr>
                <w:rFonts w:hint="eastAsia" w:hAnsi="宋体"/>
                <w:b/>
                <w:bCs/>
                <w:color w:val="000000"/>
                <w:szCs w:val="21"/>
              </w:rPr>
              <w:t>2.3：</w:t>
            </w:r>
            <w:r>
              <w:rPr>
                <w:rFonts w:hint="eastAsia" w:hAnsi="宋体"/>
                <w:color w:val="000000"/>
                <w:szCs w:val="21"/>
              </w:rPr>
              <w:t xml:space="preserve">能基于数学、自然科学和工程科学的基本原理，借助文献研究，并从可持续发展的角度分析区域环境生态工程、生态修复、生态监测与评价、生态保育等工程活动过程的影响因素，获得有效结论。 </w:t>
            </w:r>
          </w:p>
          <w:p>
            <w:pPr>
              <w:spacing w:line="360" w:lineRule="auto"/>
              <w:jc w:val="center"/>
              <w:rPr>
                <w:rFonts w:ascii="Times New Roman" w:cs="Times New Roman"/>
                <w:color w:val="000000"/>
                <w:sz w:val="21"/>
                <w:szCs w:val="21"/>
              </w:rPr>
            </w:pPr>
          </w:p>
        </w:tc>
        <w:tc>
          <w:tcPr>
            <w:tcW w:w="410"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491" w:type="pct"/>
            <w:vAlign w:val="center"/>
          </w:tcPr>
          <w:p>
            <w:pPr>
              <w:spacing w:line="360" w:lineRule="auto"/>
              <w:rPr>
                <w:rFonts w:hAnsi="宋体"/>
                <w:color w:val="000000"/>
                <w:szCs w:val="21"/>
              </w:rPr>
            </w:pPr>
            <w:r>
              <w:rPr>
                <w:rFonts w:hint="eastAsia" w:hAnsi="宋体"/>
                <w:b/>
                <w:bCs/>
                <w:color w:val="000000"/>
                <w:szCs w:val="21"/>
              </w:rPr>
              <w:t>毕业要求3：</w:t>
            </w:r>
            <w:r>
              <w:rPr>
                <w:rFonts w:hint="eastAsia" w:hAnsi="宋体"/>
                <w:color w:val="000000"/>
                <w:szCs w:val="21"/>
              </w:rPr>
              <w:t>设计/开发解决方案</w:t>
            </w:r>
            <w:r>
              <w:rPr>
                <w:rFonts w:hint="eastAsia" w:ascii="Times New Roman" w:cs="Times New Roman"/>
                <w:color w:val="000000"/>
                <w:sz w:val="21"/>
                <w:szCs w:val="21"/>
              </w:rPr>
              <w:t>【</w:t>
            </w:r>
            <w:r>
              <w:rPr>
                <w:rFonts w:ascii="Times New Roman" w:cs="Times New Roman"/>
                <w:color w:val="000000"/>
                <w:sz w:val="21"/>
                <w:szCs w:val="21"/>
              </w:rPr>
              <w:t>M</w:t>
            </w:r>
            <w:r>
              <w:rPr>
                <w:rFonts w:hint="eastAsia" w:ascii="Times New Roman" w:cs="Times New Roman"/>
                <w:color w:val="000000"/>
                <w:sz w:val="21"/>
                <w:szCs w:val="21"/>
              </w:rPr>
              <w:t>】</w:t>
            </w:r>
          </w:p>
          <w:p>
            <w:pPr>
              <w:spacing w:line="360" w:lineRule="auto"/>
              <w:rPr>
                <w:rFonts w:ascii="Times New Roman" w:cs="Times New Roman"/>
                <w:color w:val="000000"/>
                <w:sz w:val="21"/>
                <w:szCs w:val="21"/>
              </w:rPr>
            </w:pPr>
          </w:p>
        </w:tc>
        <w:tc>
          <w:tcPr>
            <w:tcW w:w="3098" w:type="pct"/>
            <w:vAlign w:val="center"/>
          </w:tcPr>
          <w:p>
            <w:pPr>
              <w:spacing w:line="360" w:lineRule="auto"/>
              <w:rPr>
                <w:rFonts w:hAnsi="宋体"/>
                <w:color w:val="000000"/>
                <w:szCs w:val="21"/>
              </w:rPr>
            </w:pPr>
            <w:r>
              <w:rPr>
                <w:rFonts w:hint="eastAsia" w:hAnsi="宋体"/>
                <w:b/>
                <w:bCs/>
                <w:color w:val="000000"/>
                <w:szCs w:val="21"/>
              </w:rPr>
              <w:t>3.3：</w:t>
            </w:r>
            <w:r>
              <w:rPr>
                <w:rFonts w:hint="eastAsia" w:hAnsi="宋体"/>
                <w:color w:val="000000"/>
                <w:szCs w:val="21"/>
              </w:rPr>
              <w:t>在设计中能够考虑公共健康与安全、节能减排与环境保护、法律与伦理，以及社会与文化等制约因素，并在设计中体现创新意识。</w:t>
            </w:r>
          </w:p>
          <w:p>
            <w:pPr>
              <w:spacing w:line="360" w:lineRule="auto"/>
              <w:rPr>
                <w:rFonts w:hAnsi="宋体"/>
                <w:color w:val="000000"/>
                <w:szCs w:val="21"/>
              </w:rPr>
            </w:pPr>
            <w:r>
              <w:rPr>
                <w:rFonts w:hAnsi="宋体"/>
                <w:color w:val="000000"/>
                <w:szCs w:val="21"/>
              </w:rPr>
              <w:t xml:space="preserve"> </w:t>
            </w:r>
          </w:p>
        </w:tc>
        <w:tc>
          <w:tcPr>
            <w:tcW w:w="410"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491" w:type="pct"/>
            <w:vAlign w:val="center"/>
          </w:tcPr>
          <w:p>
            <w:pPr>
              <w:spacing w:line="360" w:lineRule="auto"/>
              <w:rPr>
                <w:rFonts w:ascii="Times New Roman" w:cs="Times New Roman"/>
                <w:color w:val="000000"/>
                <w:sz w:val="21"/>
                <w:szCs w:val="21"/>
              </w:rPr>
            </w:pPr>
            <w:r>
              <w:rPr>
                <w:rFonts w:hint="eastAsia" w:hAnsi="宋体"/>
                <w:b/>
                <w:bCs/>
                <w:color w:val="000000"/>
                <w:szCs w:val="21"/>
              </w:rPr>
              <w:t>毕业要求4：</w:t>
            </w:r>
            <w:r>
              <w:rPr>
                <w:rFonts w:hint="eastAsia" w:ascii="Times New Roman" w:cs="Times New Roman"/>
                <w:color w:val="000000"/>
                <w:sz w:val="21"/>
                <w:szCs w:val="21"/>
              </w:rPr>
              <w:t>【</w:t>
            </w:r>
            <w:r>
              <w:rPr>
                <w:rFonts w:ascii="Times New Roman" w:cs="Times New Roman"/>
                <w:color w:val="000000"/>
                <w:sz w:val="21"/>
                <w:szCs w:val="21"/>
              </w:rPr>
              <w:t>M</w:t>
            </w:r>
            <w:r>
              <w:rPr>
                <w:rFonts w:hint="eastAsia" w:ascii="Times New Roman" w:cs="Times New Roman"/>
                <w:color w:val="000000"/>
                <w:sz w:val="21"/>
                <w:szCs w:val="21"/>
              </w:rPr>
              <w:t>】</w:t>
            </w:r>
          </w:p>
        </w:tc>
        <w:tc>
          <w:tcPr>
            <w:tcW w:w="3098" w:type="pct"/>
            <w:vAlign w:val="center"/>
          </w:tcPr>
          <w:p>
            <w:pPr>
              <w:spacing w:line="360" w:lineRule="auto"/>
              <w:rPr>
                <w:rFonts w:hAnsi="宋体"/>
                <w:color w:val="000000"/>
                <w:szCs w:val="21"/>
              </w:rPr>
            </w:pPr>
            <w:r>
              <w:rPr>
                <w:rFonts w:hint="eastAsia" w:hAnsi="宋体"/>
                <w:b/>
                <w:bCs/>
                <w:color w:val="000000"/>
                <w:szCs w:val="21"/>
              </w:rPr>
              <w:t>4.3：</w:t>
            </w:r>
            <w:r>
              <w:rPr>
                <w:rFonts w:hint="eastAsia" w:hAnsi="宋体"/>
                <w:color w:val="000000"/>
                <w:szCs w:val="21"/>
              </w:rPr>
              <w:t>能够根据实验方案构建实验系统，设计实验操作流程，安全地开展实验，正确地采集、整理实验数据。能够对实验数据和实验结果进行关联、建模、分析和解释，获得合理有效的结论。</w:t>
            </w:r>
          </w:p>
        </w:tc>
        <w:tc>
          <w:tcPr>
            <w:tcW w:w="410"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91" w:type="pct"/>
            <w:vAlign w:val="center"/>
          </w:tcPr>
          <w:p>
            <w:pPr>
              <w:spacing w:line="360" w:lineRule="auto"/>
              <w:rPr>
                <w:rFonts w:ascii="Times New Roman" w:cs="Times New Roman"/>
                <w:color w:val="000000"/>
                <w:sz w:val="21"/>
                <w:szCs w:val="21"/>
              </w:rPr>
            </w:pPr>
            <w:r>
              <w:rPr>
                <w:rFonts w:hint="eastAsia" w:ascii="Times New Roman" w:cs="Times New Roman"/>
                <w:b/>
                <w:color w:val="000000"/>
                <w:sz w:val="21"/>
                <w:szCs w:val="21"/>
              </w:rPr>
              <w:t>毕业要求8：</w:t>
            </w:r>
            <w:r>
              <w:rPr>
                <w:rFonts w:hint="eastAsia" w:hAnsi="宋体"/>
                <w:color w:val="000000"/>
                <w:szCs w:val="21"/>
              </w:rPr>
              <w:t>职业规范</w:t>
            </w:r>
            <w:r>
              <w:rPr>
                <w:rFonts w:hint="eastAsia" w:ascii="Times New Roman" w:cs="Times New Roman"/>
                <w:color w:val="000000"/>
                <w:sz w:val="21"/>
                <w:szCs w:val="21"/>
              </w:rPr>
              <w:t>【</w:t>
            </w:r>
            <w:r>
              <w:rPr>
                <w:rFonts w:ascii="Times New Roman" w:cs="Times New Roman"/>
                <w:color w:val="000000"/>
                <w:sz w:val="21"/>
                <w:szCs w:val="21"/>
              </w:rPr>
              <w:t>L</w:t>
            </w:r>
            <w:r>
              <w:rPr>
                <w:rFonts w:hint="eastAsia" w:ascii="Times New Roman" w:cs="Times New Roman"/>
                <w:color w:val="000000"/>
                <w:sz w:val="21"/>
                <w:szCs w:val="21"/>
              </w:rPr>
              <w:t>】</w:t>
            </w:r>
          </w:p>
        </w:tc>
        <w:tc>
          <w:tcPr>
            <w:tcW w:w="3098" w:type="pct"/>
            <w:vAlign w:val="center"/>
          </w:tcPr>
          <w:p>
            <w:pPr>
              <w:spacing w:line="360" w:lineRule="auto"/>
              <w:rPr>
                <w:rFonts w:ascii="Times New Roman" w:cs="Times New Roman"/>
                <w:color w:val="000000"/>
                <w:sz w:val="21"/>
                <w:szCs w:val="21"/>
              </w:rPr>
            </w:pPr>
            <w:r>
              <w:rPr>
                <w:rFonts w:hint="eastAsia" w:hAnsi="宋体"/>
                <w:b/>
                <w:bCs/>
                <w:color w:val="000000"/>
                <w:szCs w:val="21"/>
              </w:rPr>
              <w:t>8.2：</w:t>
            </w:r>
            <w:r>
              <w:rPr>
                <w:rFonts w:hint="eastAsia" w:hAnsi="宋体"/>
                <w:color w:val="000000"/>
                <w:szCs w:val="21"/>
              </w:rPr>
              <w:t>能正确认识生态监测与评价、生态治理与修复等相关职业性质与社会责任、职业规范与道德的内涵。并能够在具体工程实践中理解并遵守工程职业道德和规范，履行责任。</w:t>
            </w:r>
          </w:p>
        </w:tc>
        <w:tc>
          <w:tcPr>
            <w:tcW w:w="410" w:type="pct"/>
            <w:vAlign w:val="center"/>
          </w:tcPr>
          <w:p>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r>
    </w:tbl>
    <w:p>
      <w:pPr>
        <w:rPr>
          <w:rFonts w:ascii="Times New Roman" w:cs="Times New Roman"/>
        </w:rPr>
        <w:sectPr>
          <w:footerReference r:id="rId3" w:type="default"/>
          <w:pgSz w:w="11910" w:h="16840"/>
          <w:pgMar w:top="1420" w:right="1417" w:bottom="1417" w:left="1417" w:header="720" w:footer="720" w:gutter="0"/>
          <w:cols w:space="720" w:num="1"/>
        </w:sectPr>
      </w:pPr>
    </w:p>
    <w:p>
      <w:pPr>
        <w:pStyle w:val="6"/>
        <w:kinsoku w:val="0"/>
        <w:overflowPunct w:val="0"/>
        <w:spacing w:before="61"/>
        <w:rPr>
          <w:rFonts w:ascii="Times New Roman" w:eastAsia="黑体" w:cs="Times New Roman"/>
          <w:b/>
          <w:sz w:val="28"/>
          <w:szCs w:val="28"/>
        </w:rPr>
      </w:pPr>
      <w:r>
        <w:rPr>
          <w:rFonts w:hint="eastAsia" w:ascii="Times New Roman" w:eastAsia="黑体" w:cs="Times New Roman"/>
          <w:b/>
          <w:sz w:val="28"/>
          <w:szCs w:val="28"/>
        </w:rPr>
        <w:t>三、课程学习内容与方法</w:t>
      </w:r>
    </w:p>
    <w:p>
      <w:pPr>
        <w:pStyle w:val="6"/>
        <w:kinsoku w:val="0"/>
        <w:overflowPunct w:val="0"/>
        <w:spacing w:before="66"/>
        <w:rPr>
          <w:rFonts w:ascii="Times New Roman" w:eastAsia="明黑等宽" w:cs="Times New Roman"/>
          <w:b/>
        </w:rPr>
      </w:pPr>
      <w:r>
        <w:rPr>
          <w:rFonts w:hint="eastAsia" w:ascii="Times New Roman" w:eastAsia="黑体" w:cs="Times New Roman"/>
          <w:b/>
        </w:rPr>
        <w:t>（一）理论学习内容及要求</w:t>
      </w:r>
      <w:r>
        <w:rPr>
          <w:rFonts w:ascii="Times New Roman" w:eastAsia="明黑等宽" w:cs="Times New Roman"/>
          <w:b/>
        </w:rPr>
        <w:t xml:space="preserve">  </w:t>
      </w:r>
    </w:p>
    <w:p>
      <w:pPr>
        <w:pStyle w:val="6"/>
        <w:kinsoku w:val="0"/>
        <w:overflowPunct w:val="0"/>
        <w:spacing w:before="66"/>
        <w:jc w:val="center"/>
        <w:rPr>
          <w:rFonts w:ascii="Times New Roman" w:cs="Times New Roman"/>
          <w:b/>
          <w:sz w:val="21"/>
          <w:szCs w:val="21"/>
        </w:rPr>
      </w:pPr>
      <w:r>
        <w:rPr>
          <w:rFonts w:hint="eastAsia" w:ascii="Times New Roman" w:cs="Times New Roman"/>
          <w:b/>
          <w:sz w:val="21"/>
          <w:szCs w:val="21"/>
        </w:rPr>
        <w:t>表</w:t>
      </w:r>
      <w:r>
        <w:rPr>
          <w:rFonts w:ascii="Times New Roman" w:cs="Times New Roman"/>
          <w:b/>
          <w:sz w:val="21"/>
          <w:szCs w:val="21"/>
        </w:rPr>
        <w:t xml:space="preserve">3-1 </w:t>
      </w:r>
      <w:r>
        <w:rPr>
          <w:rFonts w:hint="eastAsia" w:ascii="Times New Roman" w:cs="Times New Roman"/>
          <w:b/>
          <w:sz w:val="21"/>
          <w:szCs w:val="21"/>
        </w:rPr>
        <w:t>课程目标、学习内容和教学方法对应关系</w:t>
      </w:r>
    </w:p>
    <w:tbl>
      <w:tblPr>
        <w:tblStyle w:val="12"/>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06"/>
        <w:gridCol w:w="2070"/>
        <w:gridCol w:w="945"/>
        <w:gridCol w:w="3620"/>
        <w:gridCol w:w="3549"/>
        <w:gridCol w:w="249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 w:type="pct"/>
            <w:vAlign w:val="center"/>
          </w:tcPr>
          <w:p>
            <w:pPr>
              <w:snapToGrid w:val="0"/>
              <w:spacing w:line="400" w:lineRule="exact"/>
              <w:rPr>
                <w:rFonts w:ascii="Times New Roman" w:eastAsia="黑体" w:cs="Times New Roman"/>
                <w:b/>
                <w:sz w:val="21"/>
                <w:szCs w:val="21"/>
              </w:rPr>
            </w:pPr>
            <w:r>
              <w:rPr>
                <w:rFonts w:hint="eastAsia" w:ascii="Times New Roman" w:eastAsia="黑体" w:cs="Times New Roman"/>
                <w:b/>
                <w:sz w:val="21"/>
                <w:szCs w:val="21"/>
              </w:rPr>
              <w:t>序号</w:t>
            </w:r>
          </w:p>
        </w:tc>
        <w:tc>
          <w:tcPr>
            <w:tcW w:w="310" w:type="pct"/>
            <w:vAlign w:val="center"/>
          </w:tcPr>
          <w:p>
            <w:pPr>
              <w:snapToGrid w:val="0"/>
              <w:spacing w:line="400" w:lineRule="exact"/>
              <w:jc w:val="center"/>
              <w:rPr>
                <w:rFonts w:ascii="Times New Roman" w:eastAsia="黑体" w:cs="Times New Roman"/>
                <w:b/>
                <w:sz w:val="21"/>
                <w:szCs w:val="21"/>
              </w:rPr>
            </w:pPr>
            <w:r>
              <w:rPr>
                <w:rFonts w:hint="eastAsia" w:ascii="Times New Roman" w:eastAsia="黑体" w:cs="Times New Roman"/>
                <w:b/>
                <w:sz w:val="21"/>
                <w:szCs w:val="21"/>
              </w:rPr>
              <w:t>课程模块</w:t>
            </w:r>
          </w:p>
        </w:tc>
        <w:tc>
          <w:tcPr>
            <w:tcW w:w="710" w:type="pct"/>
            <w:vAlign w:val="center"/>
          </w:tcPr>
          <w:p>
            <w:pPr>
              <w:snapToGrid w:val="0"/>
              <w:spacing w:line="400" w:lineRule="exact"/>
              <w:jc w:val="center"/>
              <w:rPr>
                <w:rFonts w:ascii="Times New Roman" w:eastAsia="黑体" w:cs="Times New Roman"/>
                <w:b/>
                <w:sz w:val="21"/>
                <w:szCs w:val="21"/>
              </w:rPr>
            </w:pPr>
            <w:r>
              <w:rPr>
                <w:rFonts w:hint="eastAsia" w:ascii="Times New Roman" w:eastAsia="黑体" w:cs="Times New Roman"/>
                <w:b/>
                <w:sz w:val="21"/>
                <w:szCs w:val="21"/>
              </w:rPr>
              <w:t>学习内容</w:t>
            </w:r>
          </w:p>
        </w:tc>
        <w:tc>
          <w:tcPr>
            <w:tcW w:w="324" w:type="pct"/>
            <w:vAlign w:val="center"/>
          </w:tcPr>
          <w:p>
            <w:pPr>
              <w:snapToGrid w:val="0"/>
              <w:spacing w:line="400" w:lineRule="exact"/>
              <w:jc w:val="center"/>
              <w:rPr>
                <w:rFonts w:hint="eastAsia" w:ascii="Times New Roman" w:eastAsia="黑体" w:cs="Times New Roman"/>
                <w:b/>
                <w:sz w:val="21"/>
                <w:szCs w:val="21"/>
              </w:rPr>
            </w:pPr>
            <w:r>
              <w:rPr>
                <w:rFonts w:hint="eastAsia" w:ascii="Times New Roman" w:eastAsia="黑体" w:cs="Times New Roman"/>
                <w:b/>
                <w:sz w:val="21"/>
                <w:szCs w:val="21"/>
              </w:rPr>
              <w:t>课程目标</w:t>
            </w:r>
          </w:p>
        </w:tc>
        <w:tc>
          <w:tcPr>
            <w:tcW w:w="1241" w:type="pct"/>
            <w:vAlign w:val="center"/>
          </w:tcPr>
          <w:p>
            <w:pPr>
              <w:snapToGrid w:val="0"/>
              <w:spacing w:line="400" w:lineRule="exact"/>
              <w:jc w:val="center"/>
              <w:rPr>
                <w:rFonts w:ascii="Times New Roman" w:eastAsia="黑体" w:cs="Times New Roman"/>
                <w:b/>
                <w:sz w:val="21"/>
                <w:szCs w:val="21"/>
              </w:rPr>
            </w:pPr>
            <w:r>
              <w:rPr>
                <w:rFonts w:hint="eastAsia" w:ascii="Times New Roman" w:eastAsia="黑体" w:cs="Times New Roman"/>
                <w:b/>
                <w:sz w:val="21"/>
                <w:szCs w:val="21"/>
              </w:rPr>
              <w:t>学习任务</w:t>
            </w:r>
          </w:p>
        </w:tc>
        <w:tc>
          <w:tcPr>
            <w:tcW w:w="1217" w:type="pct"/>
            <w:vAlign w:val="center"/>
          </w:tcPr>
          <w:p>
            <w:pPr>
              <w:snapToGrid w:val="0"/>
              <w:spacing w:line="400" w:lineRule="exact"/>
              <w:jc w:val="center"/>
              <w:rPr>
                <w:rFonts w:ascii="Times New Roman" w:eastAsia="黑体" w:cs="Times New Roman"/>
                <w:b/>
                <w:sz w:val="21"/>
                <w:szCs w:val="21"/>
              </w:rPr>
            </w:pPr>
            <w:r>
              <w:rPr>
                <w:rFonts w:hint="eastAsia" w:ascii="Times New Roman" w:eastAsia="黑体" w:cs="Times New Roman"/>
                <w:b/>
                <w:sz w:val="21"/>
                <w:szCs w:val="21"/>
              </w:rPr>
              <w:t>学习重点难点</w:t>
            </w:r>
          </w:p>
        </w:tc>
        <w:tc>
          <w:tcPr>
            <w:tcW w:w="855" w:type="pct"/>
            <w:vAlign w:val="center"/>
          </w:tcPr>
          <w:p>
            <w:pPr>
              <w:pStyle w:val="45"/>
              <w:kinsoku w:val="0"/>
              <w:overflowPunct w:val="0"/>
              <w:spacing w:before="22"/>
              <w:ind w:left="70" w:right="60"/>
              <w:jc w:val="center"/>
              <w:rPr>
                <w:rFonts w:ascii="Times New Roman" w:eastAsia="黑体" w:cs="Times New Roman"/>
                <w:b/>
                <w:sz w:val="21"/>
                <w:szCs w:val="21"/>
              </w:rPr>
            </w:pPr>
            <w:r>
              <w:rPr>
                <w:rFonts w:hint="eastAsia" w:ascii="Times New Roman" w:eastAsia="黑体" w:cs="Times New Roman"/>
                <w:b/>
                <w:sz w:val="21"/>
                <w:szCs w:val="21"/>
              </w:rPr>
              <w:t>教学方法</w:t>
            </w:r>
          </w:p>
        </w:tc>
        <w:tc>
          <w:tcPr>
            <w:tcW w:w="169" w:type="pct"/>
            <w:vAlign w:val="center"/>
          </w:tcPr>
          <w:p>
            <w:pPr>
              <w:snapToGrid w:val="0"/>
              <w:spacing w:line="400" w:lineRule="exact"/>
              <w:jc w:val="center"/>
              <w:rPr>
                <w:rFonts w:ascii="Times New Roman" w:eastAsia="黑体" w:cs="Times New Roman"/>
                <w:b/>
                <w:sz w:val="21"/>
                <w:szCs w:val="21"/>
              </w:rPr>
            </w:pPr>
            <w:r>
              <w:rPr>
                <w:rFonts w:hint="eastAsia" w:ascii="Times New Roman" w:eastAsia="黑体"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 w:type="pct"/>
            <w:vMerge w:val="restart"/>
            <w:vAlign w:val="center"/>
          </w:tcPr>
          <w:p>
            <w:pPr>
              <w:snapToGrid w:val="0"/>
              <w:spacing w:line="400" w:lineRule="exact"/>
              <w:rPr>
                <w:rFonts w:ascii="Times New Roman" w:eastAsia="黑体" w:cs="Times New Roman"/>
                <w:b/>
                <w:sz w:val="21"/>
                <w:szCs w:val="21"/>
              </w:rPr>
            </w:pPr>
            <w:r>
              <w:rPr>
                <w:rFonts w:ascii="Times New Roman" w:cs="Times New Roman"/>
                <w:sz w:val="21"/>
                <w:szCs w:val="21"/>
              </w:rPr>
              <w:t>1</w:t>
            </w:r>
          </w:p>
        </w:tc>
        <w:tc>
          <w:tcPr>
            <w:tcW w:w="310" w:type="pct"/>
            <w:vMerge w:val="restart"/>
            <w:vAlign w:val="center"/>
          </w:tcPr>
          <w:p>
            <w:pPr>
              <w:jc w:val="center"/>
              <w:rPr>
                <w:rFonts w:ascii="Times New Roman" w:eastAsia="黑体" w:cs="Times New Roman"/>
                <w:sz w:val="21"/>
                <w:szCs w:val="21"/>
              </w:rPr>
            </w:pPr>
            <w:r>
              <w:rPr>
                <w:rFonts w:hint="eastAsia" w:ascii="Times New Roman" w:cs="Times New Roman"/>
                <w:sz w:val="21"/>
                <w:szCs w:val="21"/>
              </w:rPr>
              <w:t>绪论</w:t>
            </w: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1.</w:t>
            </w:r>
            <w:r>
              <w:rPr>
                <w:rFonts w:hint="eastAsia" w:ascii="Times New Roman" w:cs="Times New Roman"/>
                <w:sz w:val="21"/>
                <w:szCs w:val="21"/>
              </w:rPr>
              <w:t>土壤修复发展历程及成就</w:t>
            </w:r>
          </w:p>
        </w:tc>
        <w:tc>
          <w:tcPr>
            <w:tcW w:w="324" w:type="pct"/>
            <w:vAlign w:val="center"/>
          </w:tcPr>
          <w:p>
            <w:pPr>
              <w:spacing w:line="300" w:lineRule="exact"/>
              <w:rPr>
                <w:rFonts w:hint="default" w:ascii="Times New Roman" w:eastAsia="宋体" w:cs="Times New Roman"/>
                <w:sz w:val="21"/>
                <w:szCs w:val="21"/>
                <w:lang w:val="en-US" w:eastAsia="zh-CN"/>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sz w:val="21"/>
                <w:szCs w:val="21"/>
              </w:rPr>
              <w:t>《土壤环境学》和相关内容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3.拓展阅读：</w:t>
            </w:r>
            <w:r>
              <w:rPr>
                <w:rFonts w:hint="default" w:ascii="Times New Roman" w:hAnsi="Times New Roman" w:cs="Times New Roman"/>
                <w:sz w:val="21"/>
                <w:szCs w:val="21"/>
              </w:rPr>
              <w:t>http://www.er-china.com/</w:t>
            </w:r>
          </w:p>
          <w:p>
            <w:pPr>
              <w:spacing w:line="300" w:lineRule="exact"/>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了解土壤的功能及作用</w:t>
            </w:r>
            <w:r>
              <w:rPr>
                <w:rFonts w:hint="default" w:ascii="Times New Roman" w:hAnsi="Times New Roman" w:cs="Times New Roman"/>
                <w:sz w:val="21"/>
                <w:szCs w:val="21"/>
                <w:lang w:eastAsia="zh-CN"/>
              </w:rPr>
              <w:t>，</w:t>
            </w:r>
            <w:r>
              <w:rPr>
                <w:rFonts w:hint="default" w:ascii="Times New Roman" w:hAnsi="Times New Roman" w:cs="Times New Roman"/>
                <w:sz w:val="21"/>
                <w:szCs w:val="21"/>
              </w:rPr>
              <w:t>了解土壤与人体健康的关系，以及我国土壤污染的现状</w:t>
            </w:r>
          </w:p>
          <w:p>
            <w:pPr>
              <w:snapToGrid w:val="0"/>
              <w:spacing w:line="400" w:lineRule="exact"/>
              <w:jc w:val="center"/>
              <w:rPr>
                <w:rFonts w:ascii="Times New Roman" w:eastAsia="黑体" w:cs="Times New Roman"/>
                <w:sz w:val="21"/>
                <w:szCs w:val="21"/>
              </w:rPr>
            </w:pPr>
          </w:p>
        </w:tc>
        <w:tc>
          <w:tcPr>
            <w:tcW w:w="1217" w:type="pct"/>
            <w:vMerge w:val="restart"/>
            <w:vAlign w:val="center"/>
          </w:tcPr>
          <w:p>
            <w:pPr>
              <w:rPr>
                <w:rFonts w:ascii="Times New Roman" w:cs="Times New Roman"/>
                <w:b/>
                <w:bCs/>
                <w:sz w:val="21"/>
                <w:szCs w:val="21"/>
              </w:rPr>
            </w:pPr>
            <w:r>
              <w:rPr>
                <w:rFonts w:hint="eastAsia" w:ascii="Times New Roman" w:cs="Times New Roman"/>
                <w:b/>
                <w:bCs/>
                <w:sz w:val="21"/>
                <w:szCs w:val="21"/>
              </w:rPr>
              <w:t>重点：</w:t>
            </w:r>
          </w:p>
          <w:p>
            <w:pPr>
              <w:rPr>
                <w:rFonts w:hAnsi="宋体"/>
              </w:rPr>
            </w:pPr>
            <w:r>
              <w:rPr>
                <w:rFonts w:hAnsi="宋体"/>
              </w:rPr>
              <w:t>1.</w:t>
            </w:r>
            <w:r>
              <w:rPr>
                <w:rFonts w:hint="eastAsia" w:hAnsi="宋体"/>
              </w:rPr>
              <w:t>土壤的生态功能及作用</w:t>
            </w:r>
          </w:p>
          <w:p>
            <w:pPr>
              <w:rPr>
                <w:rFonts w:hAnsi="宋体"/>
              </w:rPr>
            </w:pPr>
            <w:r>
              <w:rPr>
                <w:rFonts w:hAnsi="宋体"/>
              </w:rPr>
              <w:t>2.</w:t>
            </w:r>
            <w:r>
              <w:rPr>
                <w:rFonts w:hint="eastAsia" w:hAnsi="宋体"/>
              </w:rPr>
              <w:t>土壤污染的特点，土壤污染与人体健康的关系，我国土壤污染的现状</w:t>
            </w:r>
          </w:p>
          <w:p>
            <w:pPr>
              <w:snapToGrid w:val="0"/>
              <w:spacing w:line="400" w:lineRule="exact"/>
              <w:jc w:val="center"/>
              <w:rPr>
                <w:rFonts w:ascii="Times New Roman" w:eastAsia="黑体" w:cs="Times New Roman"/>
                <w:sz w:val="21"/>
                <w:szCs w:val="21"/>
              </w:rPr>
            </w:pPr>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22"/>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eastAsia="黑体" w:cs="Times New Roman"/>
                <w:b/>
                <w:sz w:val="21"/>
                <w:szCs w:val="21"/>
              </w:rPr>
            </w:pPr>
            <w:r>
              <w:rPr>
                <w:rFonts w:ascii="Times New Roman" w:eastAsia="黑体" w:cs="Times New Roman"/>
                <w:b/>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 w:type="pct"/>
            <w:vMerge w:val="continue"/>
            <w:vAlign w:val="center"/>
          </w:tcPr>
          <w:p>
            <w:pPr>
              <w:snapToGrid w:val="0"/>
              <w:spacing w:line="400" w:lineRule="exact"/>
              <w:rPr>
                <w:rFonts w:ascii="Times New Roman" w:eastAsia="黑体" w:cs="Times New Roman"/>
                <w:b/>
                <w:sz w:val="21"/>
                <w:szCs w:val="21"/>
              </w:rPr>
            </w:pPr>
          </w:p>
        </w:tc>
        <w:tc>
          <w:tcPr>
            <w:tcW w:w="310" w:type="pct"/>
            <w:vMerge w:val="continue"/>
            <w:vAlign w:val="center"/>
          </w:tcPr>
          <w:p>
            <w:pPr>
              <w:snapToGrid w:val="0"/>
              <w:spacing w:line="400" w:lineRule="exact"/>
              <w:jc w:val="center"/>
              <w:rPr>
                <w:rFonts w:ascii="Times New Roman" w:eastAsia="黑体"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2.</w:t>
            </w:r>
            <w:r>
              <w:rPr>
                <w:rFonts w:hint="eastAsia" w:ascii="Times New Roman" w:cs="Times New Roman"/>
                <w:sz w:val="21"/>
                <w:szCs w:val="21"/>
              </w:rPr>
              <w:t>土壤修复的相关概念</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w:t>
            </w:r>
          </w:p>
        </w:tc>
        <w:tc>
          <w:tcPr>
            <w:tcW w:w="1241" w:type="pct"/>
            <w:vMerge w:val="continue"/>
            <w:vAlign w:val="center"/>
          </w:tcPr>
          <w:p>
            <w:pPr>
              <w:snapToGrid w:val="0"/>
              <w:spacing w:line="400" w:lineRule="exact"/>
              <w:jc w:val="center"/>
              <w:rPr>
                <w:rFonts w:ascii="Times New Roman" w:eastAsia="黑体" w:cs="Times New Roman"/>
                <w:sz w:val="21"/>
                <w:szCs w:val="21"/>
              </w:rPr>
            </w:pPr>
          </w:p>
        </w:tc>
        <w:tc>
          <w:tcPr>
            <w:tcW w:w="1217" w:type="pct"/>
            <w:vMerge w:val="continue"/>
            <w:vAlign w:val="center"/>
          </w:tcPr>
          <w:p>
            <w:pPr>
              <w:snapToGrid w:val="0"/>
              <w:spacing w:line="400" w:lineRule="exact"/>
              <w:jc w:val="center"/>
              <w:rPr>
                <w:rFonts w:ascii="Times New Roman" w:eastAsia="黑体" w:cs="Times New Roman"/>
                <w:sz w:val="21"/>
                <w:szCs w:val="21"/>
              </w:rPr>
            </w:pPr>
          </w:p>
        </w:tc>
        <w:tc>
          <w:tcPr>
            <w:tcW w:w="855" w:type="pct"/>
            <w:vMerge w:val="continue"/>
            <w:vAlign w:val="center"/>
          </w:tcPr>
          <w:p>
            <w:pPr>
              <w:pStyle w:val="45"/>
              <w:kinsoku w:val="0"/>
              <w:overflowPunct w:val="0"/>
              <w:spacing w:before="22"/>
              <w:ind w:left="70" w:right="60"/>
              <w:jc w:val="center"/>
              <w:rPr>
                <w:rFonts w:ascii="Times New Roman" w:eastAsia="黑体" w:cs="Times New Roman"/>
                <w:sz w:val="21"/>
                <w:szCs w:val="21"/>
              </w:rPr>
            </w:pPr>
          </w:p>
        </w:tc>
        <w:tc>
          <w:tcPr>
            <w:tcW w:w="169" w:type="pct"/>
            <w:vMerge w:val="continue"/>
            <w:vAlign w:val="center"/>
          </w:tcPr>
          <w:p>
            <w:pPr>
              <w:snapToGrid w:val="0"/>
              <w:spacing w:line="400" w:lineRule="exact"/>
              <w:jc w:val="center"/>
              <w:rPr>
                <w:rFonts w:asci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 w:type="pct"/>
            <w:vMerge w:val="continue"/>
            <w:vAlign w:val="center"/>
          </w:tcPr>
          <w:p>
            <w:pPr>
              <w:snapToGrid w:val="0"/>
              <w:spacing w:line="400" w:lineRule="exact"/>
              <w:rPr>
                <w:rFonts w:ascii="Times New Roman" w:eastAsia="黑体" w:cs="Times New Roman"/>
                <w:b/>
                <w:sz w:val="21"/>
                <w:szCs w:val="21"/>
              </w:rPr>
            </w:pPr>
          </w:p>
        </w:tc>
        <w:tc>
          <w:tcPr>
            <w:tcW w:w="310" w:type="pct"/>
            <w:vMerge w:val="continue"/>
            <w:vAlign w:val="center"/>
          </w:tcPr>
          <w:p>
            <w:pPr>
              <w:snapToGrid w:val="0"/>
              <w:spacing w:line="400" w:lineRule="exact"/>
              <w:jc w:val="center"/>
              <w:rPr>
                <w:rFonts w:ascii="Times New Roman" w:eastAsia="黑体"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3.</w:t>
            </w:r>
            <w:r>
              <w:rPr>
                <w:rFonts w:hint="eastAsia" w:ascii="Times New Roman" w:cs="Times New Roman"/>
                <w:sz w:val="21"/>
                <w:szCs w:val="21"/>
              </w:rPr>
              <w:t>土壤修复的学习内容</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p>
        </w:tc>
        <w:tc>
          <w:tcPr>
            <w:tcW w:w="1241" w:type="pct"/>
            <w:vMerge w:val="continue"/>
            <w:vAlign w:val="center"/>
          </w:tcPr>
          <w:p>
            <w:pPr>
              <w:snapToGrid w:val="0"/>
              <w:spacing w:line="400" w:lineRule="exact"/>
              <w:jc w:val="center"/>
              <w:rPr>
                <w:rFonts w:ascii="Times New Roman" w:eastAsia="黑体" w:cs="Times New Roman"/>
                <w:sz w:val="21"/>
                <w:szCs w:val="21"/>
              </w:rPr>
            </w:pPr>
          </w:p>
        </w:tc>
        <w:tc>
          <w:tcPr>
            <w:tcW w:w="1217" w:type="pct"/>
            <w:vMerge w:val="continue"/>
            <w:vAlign w:val="center"/>
          </w:tcPr>
          <w:p>
            <w:pPr>
              <w:snapToGrid w:val="0"/>
              <w:spacing w:line="400" w:lineRule="exact"/>
              <w:jc w:val="center"/>
              <w:rPr>
                <w:rFonts w:ascii="Times New Roman" w:eastAsia="黑体" w:cs="Times New Roman"/>
                <w:sz w:val="21"/>
                <w:szCs w:val="21"/>
              </w:rPr>
            </w:pPr>
          </w:p>
        </w:tc>
        <w:tc>
          <w:tcPr>
            <w:tcW w:w="855" w:type="pct"/>
            <w:vMerge w:val="continue"/>
            <w:vAlign w:val="center"/>
          </w:tcPr>
          <w:p>
            <w:pPr>
              <w:pStyle w:val="45"/>
              <w:kinsoku w:val="0"/>
              <w:overflowPunct w:val="0"/>
              <w:spacing w:before="22"/>
              <w:ind w:left="70" w:right="60"/>
              <w:jc w:val="center"/>
              <w:rPr>
                <w:rFonts w:ascii="Times New Roman" w:eastAsia="黑体" w:cs="Times New Roman"/>
                <w:sz w:val="21"/>
                <w:szCs w:val="21"/>
              </w:rPr>
            </w:pPr>
          </w:p>
        </w:tc>
        <w:tc>
          <w:tcPr>
            <w:tcW w:w="169" w:type="pct"/>
            <w:vMerge w:val="continue"/>
            <w:vAlign w:val="center"/>
          </w:tcPr>
          <w:p>
            <w:pPr>
              <w:snapToGrid w:val="0"/>
              <w:spacing w:line="400" w:lineRule="exact"/>
              <w:jc w:val="center"/>
              <w:rPr>
                <w:rFonts w:asci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9" w:type="pct"/>
            <w:vMerge w:val="continue"/>
            <w:vAlign w:val="center"/>
          </w:tcPr>
          <w:p>
            <w:pPr>
              <w:snapToGrid w:val="0"/>
              <w:spacing w:line="400" w:lineRule="exact"/>
              <w:rPr>
                <w:rFonts w:ascii="Times New Roman" w:eastAsia="黑体" w:cs="Times New Roman"/>
                <w:b/>
                <w:sz w:val="21"/>
                <w:szCs w:val="21"/>
              </w:rPr>
            </w:pPr>
          </w:p>
        </w:tc>
        <w:tc>
          <w:tcPr>
            <w:tcW w:w="310" w:type="pct"/>
            <w:vMerge w:val="continue"/>
            <w:vAlign w:val="center"/>
          </w:tcPr>
          <w:p>
            <w:pPr>
              <w:snapToGrid w:val="0"/>
              <w:spacing w:line="400" w:lineRule="exact"/>
              <w:jc w:val="center"/>
              <w:rPr>
                <w:rFonts w:ascii="Times New Roman" w:eastAsia="黑体"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 xml:space="preserve">4. </w:t>
            </w:r>
            <w:r>
              <w:rPr>
                <w:rFonts w:hint="eastAsia" w:ascii="Times New Roman" w:cs="Times New Roman"/>
                <w:sz w:val="21"/>
                <w:szCs w:val="21"/>
              </w:rPr>
              <w:t>土壤修复的学习方法</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snapToGrid w:val="0"/>
              <w:spacing w:line="400" w:lineRule="exact"/>
              <w:jc w:val="center"/>
              <w:rPr>
                <w:rFonts w:ascii="Times New Roman" w:eastAsia="黑体" w:cs="Times New Roman"/>
                <w:sz w:val="21"/>
                <w:szCs w:val="21"/>
              </w:rPr>
            </w:pPr>
          </w:p>
        </w:tc>
        <w:tc>
          <w:tcPr>
            <w:tcW w:w="1217" w:type="pct"/>
            <w:vMerge w:val="continue"/>
            <w:vAlign w:val="center"/>
          </w:tcPr>
          <w:p>
            <w:pPr>
              <w:snapToGrid w:val="0"/>
              <w:spacing w:line="400" w:lineRule="exact"/>
              <w:jc w:val="center"/>
              <w:rPr>
                <w:rFonts w:ascii="Times New Roman" w:eastAsia="黑体" w:cs="Times New Roman"/>
                <w:sz w:val="21"/>
                <w:szCs w:val="21"/>
              </w:rPr>
            </w:pPr>
          </w:p>
        </w:tc>
        <w:tc>
          <w:tcPr>
            <w:tcW w:w="855" w:type="pct"/>
            <w:vMerge w:val="continue"/>
            <w:vAlign w:val="center"/>
          </w:tcPr>
          <w:p>
            <w:pPr>
              <w:pStyle w:val="45"/>
              <w:kinsoku w:val="0"/>
              <w:overflowPunct w:val="0"/>
              <w:spacing w:before="22"/>
              <w:ind w:left="70" w:right="60"/>
              <w:jc w:val="center"/>
              <w:rPr>
                <w:rFonts w:ascii="Times New Roman" w:eastAsia="黑体" w:cs="Times New Roman"/>
                <w:sz w:val="21"/>
                <w:szCs w:val="21"/>
              </w:rPr>
            </w:pPr>
          </w:p>
        </w:tc>
        <w:tc>
          <w:tcPr>
            <w:tcW w:w="169" w:type="pct"/>
            <w:vMerge w:val="continue"/>
            <w:vAlign w:val="center"/>
          </w:tcPr>
          <w:p>
            <w:pPr>
              <w:snapToGrid w:val="0"/>
              <w:spacing w:line="400" w:lineRule="exact"/>
              <w:jc w:val="center"/>
              <w:rPr>
                <w:rFonts w:ascii="Times New Roman" w:eastAsia="黑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9" w:type="pct"/>
            <w:vMerge w:val="restart"/>
            <w:vAlign w:val="center"/>
          </w:tcPr>
          <w:p>
            <w:pPr>
              <w:spacing w:line="400" w:lineRule="exact"/>
              <w:jc w:val="center"/>
              <w:rPr>
                <w:rFonts w:ascii="Times New Roman" w:cs="Times New Roman"/>
                <w:sz w:val="21"/>
                <w:szCs w:val="21"/>
              </w:rPr>
            </w:pPr>
            <w:r>
              <w:rPr>
                <w:rFonts w:ascii="Times New Roman" w:cs="Times New Roman"/>
                <w:sz w:val="21"/>
                <w:szCs w:val="21"/>
              </w:rPr>
              <w:t>2</w:t>
            </w:r>
          </w:p>
        </w:tc>
        <w:tc>
          <w:tcPr>
            <w:tcW w:w="310" w:type="pct"/>
            <w:vMerge w:val="restart"/>
            <w:vAlign w:val="center"/>
          </w:tcPr>
          <w:p>
            <w:pPr>
              <w:jc w:val="center"/>
              <w:rPr>
                <w:rFonts w:ascii="Times New Roman" w:cs="Times New Roman"/>
                <w:sz w:val="21"/>
                <w:szCs w:val="21"/>
              </w:rPr>
            </w:pPr>
            <w:r>
              <w:rPr>
                <w:rFonts w:hint="eastAsia" w:ascii="Times New Roman" w:cs="Times New Roman"/>
                <w:sz w:val="21"/>
                <w:szCs w:val="21"/>
              </w:rPr>
              <w:t>土壤学基础</w:t>
            </w: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1.</w:t>
            </w:r>
            <w:r>
              <w:rPr>
                <w:rFonts w:hint="eastAsia" w:ascii="Times New Roman" w:cs="Times New Roman"/>
                <w:sz w:val="21"/>
                <w:szCs w:val="21"/>
              </w:rPr>
              <w:t>土壤的功能</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fldChar w:fldCharType="begin"/>
            </w:r>
            <w:r>
              <w:instrText xml:space="preserve"> HYPERLINK "http://www.mee.gov.cn/" </w:instrText>
            </w:r>
            <w:r>
              <w:fldChar w:fldCharType="separate"/>
            </w:r>
            <w:r>
              <w:rPr>
                <w:rStyle w:val="15"/>
              </w:rPr>
              <w:t>http://www.mee.gov.cn/</w:t>
            </w:r>
            <w:r>
              <w:fldChar w:fldCharType="end"/>
            </w:r>
            <w:r>
              <w:rPr>
                <w:rFonts w:hint="default" w:ascii="Times New Roman" w:hAnsi="Times New Roman" w:cs="Times New Roman"/>
                <w:sz w:val="21"/>
                <w:szCs w:val="21"/>
              </w:rPr>
              <w:t>和相关内容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 w:val="21"/>
                <w:szCs w:val="21"/>
              </w:rPr>
              <w:t>土壤矿物质、土壤水及其生态环境</w:t>
            </w:r>
            <w:r>
              <w:rPr>
                <w:rFonts w:hint="default" w:ascii="Times New Roman" w:hAnsi="Times New Roman" w:cs="Times New Roman"/>
                <w:sz w:val="21"/>
                <w:szCs w:val="21"/>
                <w:lang w:eastAsia="zh-CN"/>
              </w:rPr>
              <w:t>。</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常见土壤类型及</w:t>
            </w:r>
            <w:r>
              <w:rPr>
                <w:rFonts w:hint="eastAsia" w:ascii="Times New Roman" w:cs="Times New Roman"/>
                <w:sz w:val="21"/>
                <w:szCs w:val="21"/>
              </w:rPr>
              <w:t>土壤的基本性质</w:t>
            </w:r>
            <w:r>
              <w:rPr>
                <w:rFonts w:hint="default" w:ascii="Times New Roman" w:hAnsi="Times New Roman" w:cs="Times New Roman"/>
                <w:sz w:val="21"/>
                <w:szCs w:val="21"/>
              </w:rPr>
              <w:t>？</w:t>
            </w:r>
          </w:p>
          <w:p>
            <w:pPr>
              <w:spacing w:line="300" w:lineRule="exact"/>
            </w:pPr>
          </w:p>
          <w:p>
            <w:pPr>
              <w:spacing w:line="300" w:lineRule="exact"/>
              <w:rPr>
                <w:rFonts w:ascii="Times New Roman" w:cs="Times New Roman"/>
                <w:sz w:val="21"/>
                <w:szCs w:val="21"/>
              </w:rPr>
            </w:pPr>
          </w:p>
        </w:tc>
        <w:tc>
          <w:tcPr>
            <w:tcW w:w="1217" w:type="pct"/>
            <w:vMerge w:val="restart"/>
            <w:vAlign w:val="center"/>
          </w:tcPr>
          <w:p>
            <w:pPr>
              <w:rPr>
                <w:rFonts w:hAnsi="宋体"/>
                <w:b/>
                <w:bCs/>
              </w:rPr>
            </w:pPr>
            <w:r>
              <w:rPr>
                <w:rFonts w:hint="eastAsia" w:hAnsi="宋体"/>
                <w:b/>
                <w:bCs/>
              </w:rPr>
              <w:t>重点：</w:t>
            </w:r>
          </w:p>
          <w:p>
            <w:pPr>
              <w:rPr>
                <w:rFonts w:hAnsi="宋体"/>
              </w:rPr>
            </w:pPr>
            <w:bookmarkStart w:id="2" w:name="OLE_LINK11"/>
            <w:r>
              <w:rPr>
                <w:rFonts w:hAnsi="宋体"/>
              </w:rPr>
              <w:t>1.</w:t>
            </w:r>
            <w:r>
              <w:rPr>
                <w:rFonts w:hint="eastAsia" w:hAnsi="宋体"/>
              </w:rPr>
              <w:t>土壤有机质的生态环境作用</w:t>
            </w:r>
          </w:p>
          <w:p>
            <w:pPr>
              <w:rPr>
                <w:rFonts w:hAnsi="宋体"/>
              </w:rPr>
            </w:pPr>
            <w:r>
              <w:rPr>
                <w:rFonts w:hAnsi="宋体"/>
              </w:rPr>
              <w:t>2.</w:t>
            </w:r>
            <w:r>
              <w:rPr>
                <w:rFonts w:hint="eastAsia" w:hAnsi="宋体"/>
              </w:rPr>
              <w:t>生物、母质、时间、地形、气候五大成土因素及土壤剖面的形成</w:t>
            </w:r>
          </w:p>
          <w:p>
            <w:pPr>
              <w:rPr>
                <w:rFonts w:hAnsi="宋体"/>
              </w:rPr>
            </w:pPr>
            <w:r>
              <w:rPr>
                <w:rFonts w:hAnsi="宋体"/>
              </w:rPr>
              <w:t>3.</w:t>
            </w:r>
            <w:r>
              <w:rPr>
                <w:rFonts w:hint="eastAsia" w:hAnsi="宋体"/>
              </w:rPr>
              <w:t>土壤质地与机械组成、土壤胶体特征、土壤的酸碱性、土壤的氧化还原特性</w:t>
            </w:r>
          </w:p>
          <w:p>
            <w:pPr>
              <w:rPr>
                <w:rFonts w:hAnsi="宋体"/>
              </w:rPr>
            </w:pPr>
            <w:r>
              <w:rPr>
                <w:rFonts w:hAnsi="宋体"/>
              </w:rPr>
              <w:t>4.</w:t>
            </w:r>
            <w:r>
              <w:rPr>
                <w:rFonts w:hint="eastAsia" w:hAnsi="宋体"/>
              </w:rPr>
              <w:t>土壤的地带性分布及铁铝土、水稻土、紫色土的形成与特征</w:t>
            </w:r>
          </w:p>
          <w:bookmarkEnd w:id="2"/>
          <w:p>
            <w:pPr>
              <w:rPr>
                <w:rFonts w:hAnsi="宋体"/>
                <w:b/>
                <w:bCs/>
              </w:rPr>
            </w:pPr>
            <w:r>
              <w:rPr>
                <w:rFonts w:hint="eastAsia" w:hAnsi="宋体"/>
                <w:b/>
                <w:bCs/>
              </w:rPr>
              <w:t>难点：</w:t>
            </w:r>
          </w:p>
          <w:p>
            <w:pPr>
              <w:numPr>
                <w:ilvl w:val="0"/>
                <w:numId w:val="1"/>
              </w:numPr>
              <w:rPr>
                <w:rFonts w:hAnsi="宋体"/>
              </w:rPr>
            </w:pPr>
            <w:r>
              <w:rPr>
                <w:rFonts w:hint="eastAsia" w:hAnsi="宋体"/>
              </w:rPr>
              <w:t>土壤黏土矿物及其在重金属污染土壤修复中的应用</w:t>
            </w:r>
          </w:p>
          <w:p>
            <w:pPr>
              <w:rPr>
                <w:rFonts w:hAnsi="宋体"/>
              </w:rPr>
            </w:pPr>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99"/>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eastAsia="黑体" w:cs="Times New Roman"/>
                <w:sz w:val="21"/>
                <w:szCs w:val="21"/>
              </w:rPr>
            </w:pPr>
            <w:r>
              <w:rPr>
                <w:rFonts w:ascii="Times New Roman" w:eastAsia="黑体"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2.</w:t>
            </w:r>
            <w:r>
              <w:rPr>
                <w:rFonts w:hint="eastAsia" w:ascii="Times New Roman" w:cs="Times New Roman"/>
                <w:sz w:val="21"/>
                <w:szCs w:val="21"/>
              </w:rPr>
              <w:t>土壤的组成</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3.</w:t>
            </w:r>
            <w:r>
              <w:rPr>
                <w:rFonts w:hint="eastAsia" w:ascii="Times New Roman" w:cs="Times New Roman"/>
                <w:sz w:val="21"/>
                <w:szCs w:val="21"/>
              </w:rPr>
              <w:t>土壤孔性</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p>
        </w:tc>
        <w:tc>
          <w:tcPr>
            <w:tcW w:w="1241" w:type="pct"/>
            <w:vMerge w:val="continue"/>
            <w:vAlign w:val="center"/>
          </w:tcPr>
          <w:p>
            <w:pPr>
              <w:spacing w:line="300" w:lineRule="exact"/>
              <w:ind w:firstLine="420" w:firstLineChars="200"/>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4.</w:t>
            </w:r>
            <w:r>
              <w:rPr>
                <w:rFonts w:hint="eastAsia" w:ascii="Times New Roman" w:cs="Times New Roman"/>
                <w:sz w:val="21"/>
                <w:szCs w:val="21"/>
              </w:rPr>
              <w:t>土壤吸附性</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5.</w:t>
            </w:r>
            <w:r>
              <w:rPr>
                <w:rFonts w:hint="eastAsia" w:ascii="Times New Roman" w:cs="Times New Roman"/>
                <w:sz w:val="21"/>
                <w:szCs w:val="21"/>
              </w:rPr>
              <w:t>土壤的酸碱性</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6.</w:t>
            </w:r>
            <w:r>
              <w:rPr>
                <w:rFonts w:hint="eastAsia" w:ascii="Times New Roman" w:cs="Times New Roman"/>
                <w:sz w:val="21"/>
                <w:szCs w:val="21"/>
              </w:rPr>
              <w:t>土壤的氧化还原性</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9" w:type="pct"/>
            <w:vMerge w:val="continue"/>
            <w:vAlign w:val="center"/>
          </w:tcPr>
          <w:p>
            <w:pPr>
              <w:spacing w:line="400" w:lineRule="exact"/>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7.</w:t>
            </w:r>
            <w:r>
              <w:rPr>
                <w:rFonts w:hint="eastAsia" w:ascii="Times New Roman" w:cs="Times New Roman"/>
                <w:sz w:val="21"/>
                <w:szCs w:val="21"/>
              </w:rPr>
              <w:t>土壤肥力</w:t>
            </w:r>
            <w:r>
              <w:rPr>
                <w:rFonts w:hint="eastAsia"/>
              </w:rPr>
              <w:t>及其影响因素</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 w:type="pct"/>
            <w:vMerge w:val="restart"/>
            <w:vAlign w:val="center"/>
          </w:tcPr>
          <w:p>
            <w:pPr>
              <w:jc w:val="center"/>
              <w:rPr>
                <w:rFonts w:ascii="Times New Roman" w:cs="Times New Roman"/>
                <w:sz w:val="21"/>
                <w:szCs w:val="21"/>
              </w:rPr>
            </w:pPr>
            <w:r>
              <w:rPr>
                <w:rFonts w:ascii="Times New Roman" w:cs="Times New Roman"/>
                <w:sz w:val="21"/>
                <w:szCs w:val="21"/>
              </w:rPr>
              <w:t>3</w:t>
            </w:r>
          </w:p>
        </w:tc>
        <w:tc>
          <w:tcPr>
            <w:tcW w:w="310" w:type="pct"/>
            <w:vMerge w:val="restart"/>
            <w:vAlign w:val="center"/>
          </w:tcPr>
          <w:p>
            <w:pPr>
              <w:jc w:val="center"/>
              <w:rPr>
                <w:rFonts w:ascii="Times New Roman" w:cs="Times New Roman"/>
                <w:sz w:val="21"/>
                <w:szCs w:val="21"/>
              </w:rPr>
            </w:pPr>
            <w:r>
              <w:rPr>
                <w:rFonts w:hint="eastAsia" w:ascii="Times New Roman" w:cs="Times New Roman"/>
                <w:sz w:val="21"/>
                <w:szCs w:val="21"/>
              </w:rPr>
              <w:t>土壤障碍因子及其修复</w:t>
            </w: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1.</w:t>
            </w:r>
            <w:r>
              <w:rPr>
                <w:rFonts w:hint="eastAsia" w:ascii="Times New Roman" w:cs="Times New Roman"/>
                <w:sz w:val="21"/>
                <w:szCs w:val="21"/>
              </w:rPr>
              <w:t>健康土壤的评判标准</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eastAsia" w:ascii="Times New Roman" w:cs="Times New Roman"/>
                <w:sz w:val="21"/>
                <w:szCs w:val="21"/>
              </w:rPr>
              <w:t>健康土壤的评判标</w:t>
            </w:r>
            <w:r>
              <w:rPr>
                <w:rFonts w:hint="default" w:ascii="Times New Roman" w:hAnsi="Times New Roman" w:cs="Times New Roman"/>
                <w:sz w:val="21"/>
                <w:szCs w:val="21"/>
              </w:rPr>
              <w:t>和相关内容</w:t>
            </w:r>
            <w:r>
              <w:rPr>
                <w:rFonts w:hint="default" w:ascii="Times New Roman" w:hAnsi="Times New Roman" w:cs="Times New Roman"/>
                <w:color w:val="000000"/>
                <w:sz w:val="21"/>
                <w:szCs w:val="21"/>
              </w:rPr>
              <w:t>，完成作业</w:t>
            </w:r>
          </w:p>
          <w:p>
            <w:pPr>
              <w:spacing w:line="3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Ansi="宋体"/>
              </w:rPr>
              <w:fldChar w:fldCharType="begin"/>
            </w:r>
            <w:r>
              <w:rPr>
                <w:rFonts w:hAnsi="宋体"/>
              </w:rPr>
              <w:instrText xml:space="preserve"> HYPERLINK "http://huanbao.bjx.com.cn/" </w:instrText>
            </w:r>
            <w:r>
              <w:rPr>
                <w:rFonts w:hAnsi="宋体"/>
              </w:rPr>
              <w:fldChar w:fldCharType="separate"/>
            </w:r>
            <w:r>
              <w:rPr>
                <w:rStyle w:val="15"/>
                <w:rFonts w:hAnsi="宋体"/>
              </w:rPr>
              <w:t>http://huanbao.bjx.com.cn/</w:t>
            </w:r>
            <w:r>
              <w:rPr>
                <w:rFonts w:hAnsi="宋体"/>
              </w:rPr>
              <w:fldChar w:fldCharType="end"/>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eastAsia" w:ascii="Times New Roman" w:cs="Times New Roman"/>
                <w:sz w:val="21"/>
                <w:szCs w:val="21"/>
              </w:rPr>
              <w:t>不同类型污染土壤及其修复技术</w:t>
            </w:r>
          </w:p>
          <w:p>
            <w:pPr>
              <w:spacing w:line="300" w:lineRule="exact"/>
              <w:rPr>
                <w:rFonts w:hAnsi="宋体"/>
              </w:rPr>
            </w:pPr>
          </w:p>
        </w:tc>
        <w:tc>
          <w:tcPr>
            <w:tcW w:w="1217" w:type="pct"/>
            <w:vMerge w:val="restart"/>
            <w:vAlign w:val="center"/>
          </w:tcPr>
          <w:p>
            <w:pPr>
              <w:rPr>
                <w:rFonts w:hAnsi="宋体"/>
                <w:b/>
                <w:bCs/>
              </w:rPr>
            </w:pPr>
            <w:r>
              <w:rPr>
                <w:rFonts w:hint="eastAsia" w:hAnsi="宋体"/>
                <w:b/>
                <w:bCs/>
              </w:rPr>
              <w:t>重点：</w:t>
            </w:r>
          </w:p>
          <w:p>
            <w:pPr>
              <w:rPr>
                <w:rFonts w:hAnsi="宋体"/>
              </w:rPr>
            </w:pPr>
            <w:r>
              <w:rPr>
                <w:rFonts w:hAnsi="宋体"/>
              </w:rPr>
              <w:t xml:space="preserve">1. </w:t>
            </w:r>
            <w:r>
              <w:rPr>
                <w:rFonts w:hint="eastAsia" w:hAnsi="宋体"/>
              </w:rPr>
              <w:t>健康土壤与污染土壤的判断标注，常见土壤污染物的种类、性质及其在土壤中的迁移转化</w:t>
            </w:r>
          </w:p>
          <w:p>
            <w:pPr>
              <w:rPr>
                <w:rFonts w:hAnsi="宋体"/>
                <w:b/>
                <w:bCs/>
              </w:rPr>
            </w:pPr>
            <w:r>
              <w:rPr>
                <w:rFonts w:hint="eastAsia" w:hAnsi="宋体"/>
                <w:b/>
                <w:bCs/>
              </w:rPr>
              <w:t>难点：</w:t>
            </w:r>
          </w:p>
          <w:p>
            <w:pPr>
              <w:rPr>
                <w:rFonts w:ascii="Times New Roman" w:cs="Times New Roman"/>
                <w:sz w:val="21"/>
                <w:szCs w:val="21"/>
              </w:rPr>
            </w:pPr>
            <w:r>
              <w:rPr>
                <w:rFonts w:hint="eastAsia" w:hAnsi="宋体"/>
              </w:rPr>
              <w:t>土壤中污染物环境标准的确定</w:t>
            </w:r>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讨论法：促进课程目标1的达成</w:t>
            </w:r>
          </w:p>
          <w:p>
            <w:pPr>
              <w:pStyle w:val="45"/>
              <w:numPr>
                <w:ilvl w:val="0"/>
                <w:numId w:val="0"/>
              </w:numPr>
              <w:kinsoku w:val="0"/>
              <w:overflowPunct w:val="0"/>
              <w:spacing w:before="99"/>
              <w:ind w:right="60" w:rightChars="0"/>
              <w:jc w:val="left"/>
              <w:rPr>
                <w:rFonts w:ascii="Times New Roman" w:cs="Times New Roman"/>
                <w:sz w:val="21"/>
                <w:szCs w:val="21"/>
              </w:rPr>
            </w:pP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w:t>
            </w:r>
            <w:r>
              <w:rPr>
                <w:rFonts w:hint="eastAsia" w:ascii="Times New Roman" w:cs="Times New Roman"/>
                <w:color w:val="000000"/>
                <w:sz w:val="21"/>
                <w:szCs w:val="21"/>
                <w:lang w:val="en-US" w:eastAsia="zh-CN"/>
              </w:rPr>
              <w:t>和4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spacing w:line="300" w:lineRule="exact"/>
              <w:rPr>
                <w:rFonts w:ascii="Times New Roman" w:cs="Times New Roman"/>
                <w:sz w:val="21"/>
                <w:szCs w:val="21"/>
              </w:rPr>
            </w:pPr>
            <w:r>
              <w:rPr>
                <w:rFonts w:ascii="Times New Roman" w:cs="Times New Roman"/>
                <w:sz w:val="21"/>
                <w:szCs w:val="21"/>
              </w:rPr>
              <w:t>2.</w:t>
            </w:r>
            <w:r>
              <w:rPr>
                <w:rFonts w:hint="eastAsia" w:ascii="Times New Roman" w:cs="Times New Roman"/>
                <w:sz w:val="21"/>
                <w:szCs w:val="21"/>
              </w:rPr>
              <w:t>土壤缺素及其修复</w:t>
            </w:r>
          </w:p>
        </w:tc>
        <w:tc>
          <w:tcPr>
            <w:tcW w:w="324" w:type="pct"/>
            <w:vAlign w:val="center"/>
          </w:tcPr>
          <w:p>
            <w:pPr>
              <w:spacing w:line="300" w:lineRule="exact"/>
              <w:rPr>
                <w:rFonts w:ascii="Times New Roman" w:cs="Times New Roman"/>
                <w:sz w:val="21"/>
                <w:szCs w:val="21"/>
              </w:rPr>
            </w:pPr>
            <w:r>
              <w:rPr>
                <w:rFonts w:hint="default" w:ascii="Times New Roman" w:hAnsi="Times New Roman" w:cs="Times New Roman"/>
                <w:color w:val="000000"/>
                <w:sz w:val="21"/>
                <w:szCs w:val="21"/>
              </w:rPr>
              <w:t>1/2</w:t>
            </w:r>
          </w:p>
        </w:tc>
        <w:tc>
          <w:tcPr>
            <w:tcW w:w="1241" w:type="pct"/>
            <w:vMerge w:val="continue"/>
            <w:vAlign w:val="center"/>
          </w:tcPr>
          <w:p>
            <w:pPr>
              <w:spacing w:line="300" w:lineRule="exact"/>
              <w:rPr>
                <w:rFonts w:ascii="Times New Roman" w:cs="Times New Roman"/>
                <w:sz w:val="21"/>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bookmarkStart w:id="3" w:name="OLE_LINK10"/>
            <w:r>
              <w:rPr>
                <w:szCs w:val="21"/>
              </w:rPr>
              <w:t>3.</w:t>
            </w:r>
            <w:r>
              <w:rPr>
                <w:rFonts w:hint="eastAsia"/>
                <w:szCs w:val="21"/>
              </w:rPr>
              <w:t>土壤酸化及其修复</w:t>
            </w:r>
            <w:bookmarkEnd w:id="3"/>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4.</w:t>
            </w:r>
            <w:r>
              <w:rPr>
                <w:rFonts w:hint="eastAsia"/>
                <w:szCs w:val="21"/>
              </w:rPr>
              <w:t>土壤盐渍化及其修复</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5.</w:t>
            </w:r>
            <w:r>
              <w:rPr>
                <w:rFonts w:hint="eastAsia"/>
                <w:szCs w:val="21"/>
              </w:rPr>
              <w:t>土壤连作障碍及其修复</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6.</w:t>
            </w:r>
            <w:r>
              <w:rPr>
                <w:rFonts w:hint="eastAsia"/>
                <w:szCs w:val="21"/>
              </w:rPr>
              <w:t>土壤板结</w:t>
            </w:r>
            <w:r>
              <w:rPr>
                <w:rFonts w:hint="eastAsia"/>
              </w:rPr>
              <w:t>及其防治</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restart"/>
            <w:vAlign w:val="center"/>
          </w:tcPr>
          <w:p>
            <w:pPr>
              <w:jc w:val="center"/>
              <w:rPr>
                <w:rFonts w:ascii="Times New Roman" w:cs="Times New Roman"/>
                <w:sz w:val="21"/>
                <w:szCs w:val="21"/>
              </w:rPr>
            </w:pPr>
            <w:r>
              <w:rPr>
                <w:rFonts w:ascii="Times New Roman" w:cs="Times New Roman"/>
                <w:sz w:val="21"/>
                <w:szCs w:val="21"/>
              </w:rPr>
              <w:t>4</w:t>
            </w:r>
          </w:p>
        </w:tc>
        <w:tc>
          <w:tcPr>
            <w:tcW w:w="310" w:type="pct"/>
            <w:vMerge w:val="restart"/>
            <w:vAlign w:val="center"/>
          </w:tcPr>
          <w:p>
            <w:pPr>
              <w:jc w:val="center"/>
              <w:rPr>
                <w:rFonts w:ascii="Times New Roman" w:cs="Times New Roman"/>
                <w:sz w:val="21"/>
                <w:szCs w:val="21"/>
              </w:rPr>
            </w:pPr>
            <w:r>
              <w:rPr>
                <w:rFonts w:hint="eastAsia" w:ascii="Times New Roman" w:cs="Times New Roman"/>
                <w:sz w:val="21"/>
                <w:szCs w:val="21"/>
              </w:rPr>
              <w:t>农用地</w:t>
            </w:r>
            <w:bookmarkStart w:id="4" w:name="OLE_LINK7"/>
            <w:r>
              <w:rPr>
                <w:rFonts w:hint="eastAsia" w:ascii="Times New Roman" w:cs="Times New Roman"/>
                <w:sz w:val="21"/>
                <w:szCs w:val="21"/>
              </w:rPr>
              <w:t>土壤污染修复</w:t>
            </w:r>
            <w:bookmarkEnd w:id="4"/>
          </w:p>
        </w:tc>
        <w:tc>
          <w:tcPr>
            <w:tcW w:w="710" w:type="pct"/>
            <w:vAlign w:val="center"/>
          </w:tcPr>
          <w:p>
            <w:pPr>
              <w:pStyle w:val="46"/>
              <w:spacing w:line="300" w:lineRule="exact"/>
              <w:ind w:firstLine="0" w:firstLineChars="0"/>
              <w:rPr>
                <w:szCs w:val="21"/>
              </w:rPr>
            </w:pPr>
            <w:r>
              <w:rPr>
                <w:szCs w:val="21"/>
              </w:rPr>
              <w:t>1.</w:t>
            </w:r>
            <w:r>
              <w:rPr>
                <w:rFonts w:hint="eastAsia"/>
                <w:szCs w:val="21"/>
              </w:rPr>
              <w:t>农用地土壤污染修复技术概述</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sz w:val="22"/>
                <w:szCs w:val="22"/>
              </w:rPr>
              <w:t>http://www.mee.gov.cn/</w:t>
            </w:r>
            <w:r>
              <w:rPr>
                <w:rFonts w:hint="eastAsia"/>
                <w:sz w:val="22"/>
                <w:szCs w:val="22"/>
                <w:lang w:val="en-US" w:eastAsia="zh-CN"/>
              </w:rPr>
              <w:t>及</w:t>
            </w:r>
            <w:r>
              <w:rPr>
                <w:rFonts w:hint="eastAsia"/>
                <w:szCs w:val="21"/>
              </w:rPr>
              <w:t>《</w:t>
            </w:r>
            <w:r>
              <w:rPr>
                <w:rFonts w:hint="eastAsia" w:ascii="Times" w:hAnsi="Times"/>
              </w:rPr>
              <w:t>农业环境保护</w:t>
            </w:r>
            <w:r>
              <w:rPr>
                <w:rFonts w:hint="eastAsia"/>
                <w:szCs w:val="21"/>
              </w:rPr>
              <w:t>》</w:t>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eastAsia"/>
                <w:szCs w:val="21"/>
              </w:rPr>
              <w:t>农用地土壤污染物种类及修复技术</w:t>
            </w:r>
            <w:r>
              <w:rPr>
                <w:rFonts w:hint="default" w:ascii="Times New Roman" w:hAnsi="Times New Roman" w:cs="Times New Roman"/>
                <w:szCs w:val="21"/>
              </w:rPr>
              <w:t>？</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eastAsia" w:ascii="Times New Roman" w:cs="Times New Roman"/>
                <w:sz w:val="21"/>
                <w:szCs w:val="21"/>
              </w:rPr>
              <w:t>了解农用地污染的现状及危害</w:t>
            </w:r>
          </w:p>
          <w:p>
            <w:pPr>
              <w:pStyle w:val="46"/>
              <w:spacing w:line="300" w:lineRule="exact"/>
              <w:ind w:firstLine="0" w:firstLineChars="0"/>
              <w:jc w:val="left"/>
              <w:rPr>
                <w:rFonts w:hint="eastAsia"/>
                <w:szCs w:val="21"/>
              </w:rPr>
            </w:pPr>
          </w:p>
        </w:tc>
        <w:tc>
          <w:tcPr>
            <w:tcW w:w="1217" w:type="pct"/>
            <w:vMerge w:val="restart"/>
            <w:vAlign w:val="center"/>
          </w:tcPr>
          <w:p>
            <w:pPr>
              <w:rPr>
                <w:rFonts w:hAnsi="宋体"/>
                <w:b/>
                <w:bCs/>
              </w:rPr>
            </w:pPr>
            <w:r>
              <w:rPr>
                <w:rFonts w:hint="eastAsia" w:hAnsi="宋体"/>
                <w:b/>
                <w:bCs/>
              </w:rPr>
              <w:t>重点：</w:t>
            </w:r>
          </w:p>
          <w:p>
            <w:pPr>
              <w:numPr>
                <w:ilvl w:val="0"/>
                <w:numId w:val="2"/>
              </w:numPr>
              <w:rPr>
                <w:rFonts w:hAnsi="宋体"/>
              </w:rPr>
            </w:pPr>
            <w:r>
              <w:rPr>
                <w:rFonts w:hint="eastAsia" w:hAnsi="宋体"/>
              </w:rPr>
              <w:t>农用地土壤中农药、石油、多环芳烃及环境激素的种类、性质及其在土壤中的迁移转化</w:t>
            </w:r>
          </w:p>
          <w:p>
            <w:pPr>
              <w:rPr>
                <w:rFonts w:hAnsi="宋体"/>
              </w:rPr>
            </w:pPr>
            <w:r>
              <w:rPr>
                <w:sz w:val="21"/>
                <w:szCs w:val="21"/>
              </w:rPr>
              <w:t>2.</w:t>
            </w:r>
            <w:r>
              <w:rPr>
                <w:rFonts w:hint="eastAsia"/>
                <w:sz w:val="21"/>
                <w:szCs w:val="21"/>
              </w:rPr>
              <w:t>农用地土壤污染修复技术种类及优缺点</w:t>
            </w:r>
          </w:p>
          <w:p>
            <w:pPr>
              <w:rPr>
                <w:rFonts w:hAnsi="宋体"/>
                <w:b/>
                <w:bCs/>
              </w:rPr>
            </w:pPr>
            <w:r>
              <w:rPr>
                <w:rFonts w:hint="eastAsia" w:hAnsi="宋体"/>
                <w:b/>
                <w:bCs/>
              </w:rPr>
              <w:t>难点：</w:t>
            </w:r>
          </w:p>
          <w:p>
            <w:pPr>
              <w:rPr>
                <w:rFonts w:ascii="Times New Roman" w:cs="Times New Roman"/>
                <w:sz w:val="21"/>
                <w:szCs w:val="21"/>
              </w:rPr>
            </w:pPr>
            <w:r>
              <w:rPr>
                <w:rFonts w:hint="eastAsia" w:hAnsi="宋体"/>
              </w:rPr>
              <w:t>理解重金属赋存形态与生物可利用性的关系</w:t>
            </w:r>
          </w:p>
        </w:tc>
        <w:tc>
          <w:tcPr>
            <w:tcW w:w="855" w:type="pct"/>
            <w:vMerge w:val="restart"/>
            <w:vAlign w:val="center"/>
          </w:tcPr>
          <w:p>
            <w:pPr>
              <w:spacing w:beforeLines="0" w:afterLine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99"/>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8</w:t>
            </w:r>
            <w:r>
              <w:rPr>
                <w:rFonts w:hint="eastAsia" w:ascii="Times New Roman" w:cs="Times New Roman"/>
                <w:sz w:val="21"/>
                <w:szCs w:val="21"/>
              </w:rPr>
              <w:t>（含劳动教育1学时）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2.</w:t>
            </w:r>
            <w:r>
              <w:rPr>
                <w:rFonts w:hint="eastAsia"/>
                <w:szCs w:val="21"/>
              </w:rPr>
              <w:t>农用地土壤污染风险管控技术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3.</w:t>
            </w:r>
            <w:r>
              <w:rPr>
                <w:rFonts w:hint="eastAsia"/>
                <w:szCs w:val="21"/>
              </w:rPr>
              <w:t>农用地土壤污染修复技术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69" w:type="pct"/>
            <w:vMerge w:val="restart"/>
            <w:vAlign w:val="center"/>
          </w:tcPr>
          <w:p>
            <w:pPr>
              <w:jc w:val="center"/>
              <w:rPr>
                <w:rFonts w:ascii="Times New Roman" w:cs="Times New Roman"/>
                <w:sz w:val="21"/>
                <w:szCs w:val="21"/>
              </w:rPr>
            </w:pPr>
            <w:r>
              <w:rPr>
                <w:rFonts w:ascii="Times New Roman" w:cs="Times New Roman"/>
                <w:sz w:val="21"/>
                <w:szCs w:val="21"/>
              </w:rPr>
              <w:t>5</w:t>
            </w:r>
          </w:p>
        </w:tc>
        <w:tc>
          <w:tcPr>
            <w:tcW w:w="310" w:type="pct"/>
            <w:vMerge w:val="restart"/>
            <w:vAlign w:val="center"/>
          </w:tcPr>
          <w:p>
            <w:pPr>
              <w:jc w:val="center"/>
              <w:rPr>
                <w:rFonts w:ascii="Times New Roman" w:cs="Times New Roman"/>
                <w:sz w:val="21"/>
                <w:szCs w:val="21"/>
              </w:rPr>
            </w:pPr>
            <w:r>
              <w:rPr>
                <w:rFonts w:hint="eastAsia" w:ascii="Times New Roman" w:cs="Times New Roman"/>
                <w:sz w:val="21"/>
                <w:szCs w:val="21"/>
              </w:rPr>
              <w:t>建设用地土壤污染修复</w:t>
            </w:r>
          </w:p>
        </w:tc>
        <w:tc>
          <w:tcPr>
            <w:tcW w:w="710" w:type="pct"/>
            <w:vAlign w:val="center"/>
          </w:tcPr>
          <w:p>
            <w:pPr>
              <w:pStyle w:val="46"/>
              <w:spacing w:line="300" w:lineRule="exact"/>
              <w:ind w:firstLine="0" w:firstLineChars="0"/>
              <w:rPr>
                <w:szCs w:val="21"/>
              </w:rPr>
            </w:pPr>
            <w:r>
              <w:rPr>
                <w:szCs w:val="21"/>
              </w:rPr>
              <w:t>1.</w:t>
            </w:r>
            <w:r>
              <w:rPr>
                <w:rFonts w:hint="eastAsia"/>
                <w:szCs w:val="21"/>
              </w:rPr>
              <w:t>建设用地土壤污染修复技术概述</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eastAsia"/>
                <w:sz w:val="21"/>
                <w:szCs w:val="21"/>
              </w:rPr>
              <w:t>《</w:t>
            </w:r>
            <w:r>
              <w:rPr>
                <w:rFonts w:hint="eastAsia" w:ascii="Times" w:hAnsi="Times"/>
              </w:rPr>
              <w:t>土壤污染与防治</w:t>
            </w:r>
            <w:r>
              <w:rPr>
                <w:rFonts w:hint="eastAsia"/>
                <w:sz w:val="21"/>
                <w:szCs w:val="21"/>
              </w:rPr>
              <w:t>》</w:t>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eastAsia" w:ascii="Times New Roman" w:cs="Times New Roman"/>
                <w:sz w:val="21"/>
                <w:szCs w:val="21"/>
              </w:rPr>
              <w:t>建设用地污染的现状及危害</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eastAsia"/>
                <w:szCs w:val="21"/>
              </w:rPr>
              <w:t>建设用地土壤污染物种类及修复技术？</w:t>
            </w:r>
          </w:p>
          <w:p>
            <w:pPr>
              <w:pStyle w:val="46"/>
              <w:spacing w:line="300" w:lineRule="exact"/>
              <w:ind w:firstLine="0" w:firstLineChars="0"/>
              <w:rPr>
                <w:szCs w:val="21"/>
              </w:rPr>
            </w:pPr>
          </w:p>
        </w:tc>
        <w:tc>
          <w:tcPr>
            <w:tcW w:w="1217" w:type="pct"/>
            <w:vMerge w:val="restart"/>
            <w:vAlign w:val="center"/>
          </w:tcPr>
          <w:p>
            <w:pPr>
              <w:rPr>
                <w:rFonts w:hAnsi="宋体"/>
                <w:b/>
                <w:bCs/>
              </w:rPr>
            </w:pPr>
            <w:r>
              <w:rPr>
                <w:rFonts w:hint="eastAsia" w:hAnsi="宋体"/>
              </w:rPr>
              <w:t>重</w:t>
            </w:r>
            <w:r>
              <w:rPr>
                <w:rFonts w:hint="eastAsia" w:hAnsi="宋体"/>
                <w:b/>
                <w:bCs/>
              </w:rPr>
              <w:t>点：</w:t>
            </w:r>
          </w:p>
          <w:p>
            <w:pPr>
              <w:rPr>
                <w:rFonts w:hAnsi="宋体"/>
              </w:rPr>
            </w:pPr>
            <w:r>
              <w:rPr>
                <w:rFonts w:hAnsi="宋体"/>
              </w:rPr>
              <w:t>1</w:t>
            </w:r>
            <w:r>
              <w:rPr>
                <w:rFonts w:hint="eastAsia" w:hAnsi="宋体"/>
              </w:rPr>
              <w:t>建设用地土壤中污染类型及污染物的种类、性质及其在土壤中的迁移转化</w:t>
            </w:r>
          </w:p>
          <w:p>
            <w:pPr>
              <w:numPr>
                <w:ilvl w:val="0"/>
                <w:numId w:val="3"/>
              </w:numPr>
              <w:rPr>
                <w:rFonts w:hAnsi="宋体"/>
              </w:rPr>
            </w:pPr>
            <w:bookmarkStart w:id="5" w:name="OLE_LINK8"/>
            <w:r>
              <w:rPr>
                <w:rFonts w:hint="eastAsia"/>
                <w:sz w:val="21"/>
                <w:szCs w:val="21"/>
              </w:rPr>
              <w:t>建筑用地土壤污染修复技术种类及优缺点</w:t>
            </w:r>
          </w:p>
          <w:bookmarkEnd w:id="5"/>
          <w:p>
            <w:pPr>
              <w:rPr>
                <w:rFonts w:hAnsi="宋体"/>
                <w:b/>
                <w:bCs/>
              </w:rPr>
            </w:pPr>
            <w:r>
              <w:rPr>
                <w:rFonts w:hint="eastAsia" w:hAnsi="宋体"/>
                <w:b/>
                <w:bCs/>
              </w:rPr>
              <w:t>难点：</w:t>
            </w:r>
          </w:p>
          <w:p>
            <w:pPr>
              <w:rPr>
                <w:rFonts w:ascii="Times New Roman" w:cs="Times New Roman"/>
                <w:sz w:val="21"/>
                <w:szCs w:val="21"/>
              </w:rPr>
            </w:pPr>
            <w:r>
              <w:rPr>
                <w:rFonts w:hint="eastAsia" w:hAnsi="宋体"/>
              </w:rPr>
              <w:t>建筑用地土壤中污染物环境标准的确定</w:t>
            </w:r>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sz w:val="21"/>
                <w:szCs w:val="21"/>
              </w:rPr>
              <w:t>自</w:t>
            </w: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99"/>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2.</w:t>
            </w:r>
            <w:r>
              <w:rPr>
                <w:rFonts w:hint="eastAsia"/>
                <w:szCs w:val="21"/>
              </w:rPr>
              <w:t>建设用地土壤污染风险管控技术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3.</w:t>
            </w:r>
            <w:r>
              <w:rPr>
                <w:rFonts w:hint="eastAsia"/>
                <w:szCs w:val="21"/>
              </w:rPr>
              <w:t>建设用地土壤污染修复技术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restart"/>
            <w:vAlign w:val="center"/>
          </w:tcPr>
          <w:p>
            <w:pPr>
              <w:jc w:val="center"/>
              <w:rPr>
                <w:rFonts w:ascii="Times New Roman" w:cs="Times New Roman"/>
                <w:sz w:val="21"/>
                <w:szCs w:val="21"/>
              </w:rPr>
            </w:pPr>
            <w:r>
              <w:rPr>
                <w:rFonts w:ascii="Times New Roman" w:cs="Times New Roman"/>
                <w:sz w:val="21"/>
                <w:szCs w:val="21"/>
              </w:rPr>
              <w:t>6</w:t>
            </w:r>
          </w:p>
        </w:tc>
        <w:tc>
          <w:tcPr>
            <w:tcW w:w="310" w:type="pct"/>
            <w:vMerge w:val="restart"/>
            <w:vAlign w:val="center"/>
          </w:tcPr>
          <w:p>
            <w:pPr>
              <w:jc w:val="center"/>
              <w:rPr>
                <w:rFonts w:ascii="Times New Roman" w:cs="Times New Roman"/>
                <w:sz w:val="21"/>
                <w:szCs w:val="21"/>
              </w:rPr>
            </w:pPr>
            <w:r>
              <w:rPr>
                <w:rFonts w:hint="eastAsia" w:ascii="Times New Roman" w:cs="Times New Roman"/>
                <w:sz w:val="21"/>
                <w:szCs w:val="21"/>
              </w:rPr>
              <w:t>地下水污染修复</w:t>
            </w:r>
          </w:p>
        </w:tc>
        <w:tc>
          <w:tcPr>
            <w:tcW w:w="710" w:type="pct"/>
            <w:vAlign w:val="center"/>
          </w:tcPr>
          <w:p>
            <w:pPr>
              <w:pStyle w:val="46"/>
              <w:spacing w:line="300" w:lineRule="exact"/>
              <w:ind w:firstLine="0" w:firstLineChars="0"/>
              <w:rPr>
                <w:szCs w:val="21"/>
              </w:rPr>
            </w:pPr>
            <w:r>
              <w:rPr>
                <w:szCs w:val="21"/>
              </w:rPr>
              <w:t>1.</w:t>
            </w:r>
            <w:r>
              <w:rPr>
                <w:rFonts w:hint="eastAsia"/>
                <w:szCs w:val="21"/>
              </w:rPr>
              <w:t>地下水污染风险管控技术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eastAsia" w:ascii="Times New Roman" w:cs="Times New Roman"/>
                <w:sz w:val="21"/>
                <w:szCs w:val="21"/>
              </w:rPr>
              <w:t>了解到地下水污染的现状及危害</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fldChar w:fldCharType="begin"/>
            </w:r>
            <w:r>
              <w:instrText xml:space="preserve"> HYPERLINK "http://www.er-china.com/" </w:instrText>
            </w:r>
            <w:r>
              <w:fldChar w:fldCharType="separate"/>
            </w:r>
            <w:r>
              <w:rPr>
                <w:rStyle w:val="15"/>
              </w:rPr>
              <w:t>http://www.er-china.com/</w:t>
            </w:r>
            <w:r>
              <w:fldChar w:fldCharType="end"/>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eastAsia"/>
                <w:szCs w:val="21"/>
              </w:rPr>
              <w:t>地下水污染物种类及修复技术？</w:t>
            </w:r>
          </w:p>
          <w:p>
            <w:pPr>
              <w:pStyle w:val="46"/>
              <w:spacing w:line="300" w:lineRule="exact"/>
              <w:ind w:firstLine="0" w:firstLineChars="0"/>
            </w:pPr>
          </w:p>
        </w:tc>
        <w:tc>
          <w:tcPr>
            <w:tcW w:w="1217" w:type="pct"/>
            <w:vMerge w:val="restart"/>
            <w:vAlign w:val="center"/>
          </w:tcPr>
          <w:p>
            <w:pPr>
              <w:rPr>
                <w:rFonts w:hAnsi="宋体"/>
                <w:b/>
                <w:bCs/>
              </w:rPr>
            </w:pPr>
            <w:r>
              <w:rPr>
                <w:rFonts w:hint="eastAsia" w:hAnsi="宋体"/>
                <w:b/>
                <w:bCs/>
              </w:rPr>
              <w:t>重点：</w:t>
            </w:r>
          </w:p>
          <w:p>
            <w:pPr>
              <w:rPr>
                <w:rFonts w:hAnsi="宋体"/>
              </w:rPr>
            </w:pPr>
            <w:r>
              <w:rPr>
                <w:rFonts w:hAnsi="宋体"/>
              </w:rPr>
              <w:t>1</w:t>
            </w:r>
            <w:r>
              <w:rPr>
                <w:rFonts w:hint="eastAsia" w:hAnsi="宋体"/>
              </w:rPr>
              <w:t>，污染物种类、性质及迁移转化对地下水的影响</w:t>
            </w:r>
          </w:p>
          <w:p>
            <w:pPr>
              <w:numPr>
                <w:ilvl w:val="0"/>
                <w:numId w:val="3"/>
              </w:numPr>
              <w:rPr>
                <w:rFonts w:hAnsi="宋体"/>
              </w:rPr>
            </w:pPr>
            <w:bookmarkStart w:id="6" w:name="OLE_LINK9"/>
            <w:r>
              <w:rPr>
                <w:rFonts w:hint="eastAsia"/>
                <w:sz w:val="21"/>
                <w:szCs w:val="21"/>
              </w:rPr>
              <w:t>地下水污染修复技术种类及优缺点</w:t>
            </w:r>
          </w:p>
          <w:bookmarkEnd w:id="6"/>
          <w:p>
            <w:pPr>
              <w:rPr>
                <w:rFonts w:hAnsi="宋体"/>
                <w:b/>
                <w:bCs/>
              </w:rPr>
            </w:pPr>
            <w:r>
              <w:rPr>
                <w:rFonts w:hint="eastAsia" w:hAnsi="宋体"/>
                <w:b/>
                <w:bCs/>
              </w:rPr>
              <w:t>难点：</w:t>
            </w:r>
          </w:p>
          <w:p>
            <w:pPr>
              <w:rPr>
                <w:rFonts w:ascii="Times New Roman" w:cs="Times New Roman"/>
                <w:sz w:val="21"/>
                <w:szCs w:val="21"/>
              </w:rPr>
            </w:pPr>
            <w:r>
              <w:rPr>
                <w:rFonts w:hint="eastAsia" w:hAnsi="宋体"/>
              </w:rPr>
              <w:t>地下水中污染物环境标准的确定</w:t>
            </w:r>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99"/>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2.</w:t>
            </w:r>
            <w:r>
              <w:rPr>
                <w:rFonts w:hint="eastAsia"/>
                <w:szCs w:val="21"/>
              </w:rPr>
              <w:t>地下水污染修复技术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r>
              <w:rPr>
                <w:rFonts w:hint="eastAsia" w:ascii="Times New Roman" w:cs="Times New Roman"/>
                <w:color w:val="000000"/>
                <w:sz w:val="21"/>
                <w:szCs w:val="21"/>
                <w:lang w:val="en-US" w:eastAsia="zh-CN"/>
              </w:rPr>
              <w:t>/4</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restart"/>
            <w:vAlign w:val="center"/>
          </w:tcPr>
          <w:p>
            <w:pPr>
              <w:jc w:val="center"/>
              <w:rPr>
                <w:rFonts w:ascii="Times New Roman" w:cs="Times New Roman"/>
                <w:sz w:val="21"/>
                <w:szCs w:val="21"/>
              </w:rPr>
            </w:pPr>
            <w:r>
              <w:rPr>
                <w:rFonts w:ascii="Times New Roman" w:cs="Times New Roman"/>
                <w:sz w:val="21"/>
                <w:szCs w:val="21"/>
              </w:rPr>
              <w:t>7</w:t>
            </w:r>
          </w:p>
        </w:tc>
        <w:tc>
          <w:tcPr>
            <w:tcW w:w="310" w:type="pct"/>
            <w:vMerge w:val="restart"/>
            <w:vAlign w:val="center"/>
          </w:tcPr>
          <w:p>
            <w:pPr>
              <w:jc w:val="center"/>
              <w:rPr>
                <w:rFonts w:ascii="Times New Roman" w:cs="Times New Roman"/>
                <w:sz w:val="21"/>
                <w:szCs w:val="21"/>
              </w:rPr>
            </w:pPr>
            <w:bookmarkStart w:id="7" w:name="OLE_LINK4"/>
            <w:r>
              <w:rPr>
                <w:rFonts w:hint="eastAsia" w:ascii="Times New Roman" w:cs="Times New Roman"/>
                <w:sz w:val="21"/>
                <w:szCs w:val="21"/>
              </w:rPr>
              <w:t>常用配套技术</w:t>
            </w:r>
            <w:bookmarkEnd w:id="7"/>
          </w:p>
        </w:tc>
        <w:tc>
          <w:tcPr>
            <w:tcW w:w="710" w:type="pct"/>
            <w:vAlign w:val="center"/>
          </w:tcPr>
          <w:p>
            <w:pPr>
              <w:pStyle w:val="46"/>
              <w:spacing w:line="300" w:lineRule="exact"/>
              <w:ind w:firstLine="0" w:firstLineChars="0"/>
              <w:rPr>
                <w:szCs w:val="21"/>
              </w:rPr>
            </w:pPr>
            <w:r>
              <w:rPr>
                <w:szCs w:val="21"/>
              </w:rPr>
              <w:t>1.</w:t>
            </w:r>
            <w:r>
              <w:rPr>
                <w:rFonts w:hint="eastAsia"/>
                <w:szCs w:val="21"/>
              </w:rPr>
              <w:t>土壤混合技术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w:t>
            </w:r>
          </w:p>
        </w:tc>
        <w:tc>
          <w:tcPr>
            <w:tcW w:w="1241" w:type="pct"/>
            <w:vMerge w:val="restart"/>
            <w:vAlign w:val="center"/>
          </w:tcPr>
          <w:p>
            <w:pPr>
              <w:pStyle w:val="46"/>
              <w:spacing w:line="300" w:lineRule="exact"/>
              <w:ind w:firstLine="0" w:firstLineChars="0"/>
              <w:rPr>
                <w:rFonts w:hint="eastAsia" w:ascii="Times" w:hAnsi="Times"/>
              </w:rPr>
            </w:pP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default" w:ascii="Times New Roman" w:hAnsi="Times New Roman" w:cs="Times New Roman"/>
                <w:szCs w:val="21"/>
              </w:rPr>
              <w:t>《污染土壤修复技术与应用》</w:t>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3.主题讨论：</w:t>
            </w:r>
            <w:r>
              <w:rPr>
                <w:rFonts w:hint="eastAsia"/>
                <w:szCs w:val="21"/>
              </w:rPr>
              <w:t>常见土壤修复技术及优缺点？</w:t>
            </w:r>
          </w:p>
          <w:p>
            <w:pPr>
              <w:pStyle w:val="46"/>
              <w:spacing w:line="300" w:lineRule="exact"/>
              <w:ind w:firstLine="0" w:firstLineChars="0"/>
              <w:rPr>
                <w:rFonts w:hint="eastAsia" w:ascii="Times" w:hAnsi="Times"/>
              </w:rPr>
            </w:pPr>
          </w:p>
        </w:tc>
        <w:tc>
          <w:tcPr>
            <w:tcW w:w="1217" w:type="pct"/>
            <w:vMerge w:val="restart"/>
            <w:vAlign w:val="center"/>
          </w:tcPr>
          <w:p>
            <w:pPr>
              <w:rPr>
                <w:rFonts w:hAnsi="宋体"/>
                <w:b/>
                <w:bCs/>
              </w:rPr>
            </w:pPr>
            <w:r>
              <w:rPr>
                <w:rFonts w:hint="eastAsia" w:hAnsi="宋体"/>
                <w:b/>
                <w:bCs/>
              </w:rPr>
              <w:t>重点：</w:t>
            </w:r>
          </w:p>
          <w:p>
            <w:pPr>
              <w:snapToGrid w:val="0"/>
              <w:rPr>
                <w:rFonts w:hAnsi="宋体"/>
              </w:rPr>
            </w:pPr>
            <w:r>
              <w:rPr>
                <w:rFonts w:hAnsi="宋体"/>
              </w:rPr>
              <w:t>1.</w:t>
            </w:r>
            <w:r>
              <w:rPr>
                <w:rFonts w:hint="eastAsia" w:hAnsi="宋体"/>
              </w:rPr>
              <w:t>土壤污染的物理修复技术的技术原理、适用性、优缺点及优化措施。</w:t>
            </w:r>
          </w:p>
          <w:p>
            <w:pPr>
              <w:snapToGrid w:val="0"/>
              <w:rPr>
                <w:rFonts w:hAnsi="宋体"/>
              </w:rPr>
            </w:pPr>
            <w:r>
              <w:rPr>
                <w:rFonts w:hAnsi="宋体"/>
              </w:rPr>
              <w:t>2.</w:t>
            </w:r>
            <w:r>
              <w:rPr>
                <w:rFonts w:hint="eastAsia" w:hAnsi="宋体"/>
              </w:rPr>
              <w:t>土壤污染的化学修复技术的技术原理、适用性、优缺点及改进技术工艺。</w:t>
            </w:r>
          </w:p>
          <w:p>
            <w:pPr>
              <w:rPr>
                <w:rFonts w:hAnsi="宋体"/>
              </w:rPr>
            </w:pPr>
            <w:r>
              <w:rPr>
                <w:rFonts w:hAnsi="宋体"/>
              </w:rPr>
              <w:t>3.</w:t>
            </w:r>
            <w:r>
              <w:rPr>
                <w:rFonts w:hint="eastAsia" w:hAnsi="宋体"/>
              </w:rPr>
              <w:t>土壤污染的植物修复技术的技术原理、适用性、优缺点及优化措施。</w:t>
            </w:r>
          </w:p>
          <w:p>
            <w:pPr>
              <w:rPr>
                <w:rFonts w:hAnsi="宋体"/>
              </w:rPr>
            </w:pPr>
            <w:r>
              <w:rPr>
                <w:rFonts w:hAnsi="宋体"/>
              </w:rPr>
              <w:t>4.</w:t>
            </w:r>
            <w:r>
              <w:rPr>
                <w:rFonts w:hint="eastAsia" w:hAnsi="宋体"/>
              </w:rPr>
              <w:t>土壤污染修复技术方案的比选的原则、方法及方案制定</w:t>
            </w:r>
          </w:p>
          <w:p>
            <w:pPr>
              <w:rPr>
                <w:rFonts w:hAnsi="宋体"/>
                <w:b/>
                <w:bCs/>
              </w:rPr>
            </w:pPr>
            <w:r>
              <w:rPr>
                <w:rFonts w:hint="eastAsia" w:hAnsi="宋体"/>
                <w:b/>
                <w:bCs/>
              </w:rPr>
              <w:t>难点：</w:t>
            </w:r>
          </w:p>
          <w:p>
            <w:pPr>
              <w:rPr>
                <w:rFonts w:hAnsi="宋体"/>
              </w:rPr>
            </w:pPr>
            <w:r>
              <w:rPr>
                <w:rFonts w:hint="eastAsia" w:hAnsi="宋体"/>
              </w:rPr>
              <w:t>复合</w:t>
            </w:r>
            <w:bookmarkStart w:id="8" w:name="OLE_LINK6"/>
            <w:r>
              <w:rPr>
                <w:rFonts w:hint="eastAsia" w:hAnsi="宋体"/>
              </w:rPr>
              <w:t>污染场地修复技术方案的选择与制定</w:t>
            </w:r>
            <w:bookmarkEnd w:id="8"/>
          </w:p>
        </w:tc>
        <w:tc>
          <w:tcPr>
            <w:tcW w:w="855" w:type="pct"/>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45"/>
              <w:kinsoku w:val="0"/>
              <w:overflowPunct w:val="0"/>
              <w:spacing w:before="99"/>
              <w:ind w:left="70" w:right="60"/>
              <w:jc w:val="left"/>
              <w:rPr>
                <w:rFonts w:asci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w:t>
            </w:r>
            <w:r>
              <w:rPr>
                <w:rFonts w:hint="eastAsia" w:ascii="Times New Roman" w:cs="Times New Roman"/>
                <w:color w:val="000000"/>
                <w:sz w:val="21"/>
                <w:szCs w:val="21"/>
                <w:lang w:val="en-US" w:eastAsia="zh-CN"/>
              </w:rPr>
              <w:t>4</w:t>
            </w:r>
            <w:r>
              <w:rPr>
                <w:rFonts w:hint="default" w:ascii="Times New Roman" w:hAnsi="Times New Roman" w:cs="Times New Roman"/>
                <w:color w:val="000000"/>
                <w:sz w:val="21"/>
                <w:szCs w:val="21"/>
              </w:rPr>
              <w:t>的达成</w:t>
            </w:r>
          </w:p>
        </w:tc>
        <w:tc>
          <w:tcPr>
            <w:tcW w:w="169" w:type="pct"/>
            <w:vMerge w:val="restart"/>
            <w:vAlign w:val="center"/>
          </w:tcPr>
          <w:p>
            <w:pPr>
              <w:snapToGrid w:val="0"/>
              <w:spacing w:line="400" w:lineRule="exact"/>
              <w:jc w:val="center"/>
              <w:rPr>
                <w:rFonts w:ascii="Times New Roman" w:cs="Times New Roman"/>
                <w:sz w:val="21"/>
                <w:szCs w:val="21"/>
              </w:rPr>
            </w:pPr>
            <w:r>
              <w:rPr>
                <w:rFonts w:ascii="Times New Roman"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9" w:type="pct"/>
            <w:vMerge w:val="continue"/>
            <w:vAlign w:val="center"/>
          </w:tcPr>
          <w:p>
            <w:pPr>
              <w:jc w:val="center"/>
              <w:rPr>
                <w:rFonts w:ascii="Times New Roman" w:cs="Times New Roman"/>
                <w:sz w:val="21"/>
                <w:szCs w:val="21"/>
              </w:rPr>
            </w:pPr>
          </w:p>
        </w:tc>
        <w:tc>
          <w:tcPr>
            <w:tcW w:w="310" w:type="pct"/>
            <w:vMerge w:val="continue"/>
            <w:vAlign w:val="center"/>
          </w:tcPr>
          <w:p>
            <w:pPr>
              <w:jc w:val="center"/>
              <w:rPr>
                <w:rFonts w:ascii="Times New Roman" w:cs="Times New Roman"/>
                <w:sz w:val="21"/>
                <w:szCs w:val="21"/>
              </w:rPr>
            </w:pPr>
          </w:p>
        </w:tc>
        <w:tc>
          <w:tcPr>
            <w:tcW w:w="710" w:type="pct"/>
            <w:vAlign w:val="center"/>
          </w:tcPr>
          <w:p>
            <w:pPr>
              <w:pStyle w:val="46"/>
              <w:spacing w:line="300" w:lineRule="exact"/>
              <w:ind w:firstLine="0" w:firstLineChars="0"/>
              <w:rPr>
                <w:szCs w:val="21"/>
              </w:rPr>
            </w:pPr>
            <w:r>
              <w:rPr>
                <w:szCs w:val="21"/>
              </w:rPr>
              <w:t>2.</w:t>
            </w:r>
            <w:r>
              <w:rPr>
                <w:rFonts w:hint="eastAsia"/>
                <w:szCs w:val="21"/>
              </w:rPr>
              <w:t>注射技术</w:t>
            </w:r>
          </w:p>
        </w:tc>
        <w:tc>
          <w:tcPr>
            <w:tcW w:w="324" w:type="pct"/>
            <w:vAlign w:val="center"/>
          </w:tcPr>
          <w:p>
            <w:pPr>
              <w:pStyle w:val="46"/>
              <w:spacing w:line="300" w:lineRule="exact"/>
              <w:ind w:firstLine="0" w:firstLineChars="0"/>
              <w:rPr>
                <w:szCs w:val="21"/>
              </w:rPr>
            </w:pPr>
            <w:r>
              <w:rPr>
                <w:rFonts w:hint="default" w:ascii="Times New Roman" w:hAnsi="Times New Roman" w:cs="Times New Roman"/>
                <w:color w:val="000000"/>
                <w:sz w:val="21"/>
                <w:szCs w:val="21"/>
              </w:rPr>
              <w:t>1/2/3</w:t>
            </w:r>
          </w:p>
        </w:tc>
        <w:tc>
          <w:tcPr>
            <w:tcW w:w="1241" w:type="pct"/>
            <w:vMerge w:val="continue"/>
            <w:vAlign w:val="center"/>
          </w:tcPr>
          <w:p>
            <w:pPr>
              <w:pStyle w:val="46"/>
              <w:spacing w:line="300" w:lineRule="exact"/>
              <w:ind w:firstLine="0" w:firstLineChars="0"/>
              <w:rPr>
                <w:szCs w:val="21"/>
              </w:rPr>
            </w:pPr>
          </w:p>
        </w:tc>
        <w:tc>
          <w:tcPr>
            <w:tcW w:w="1217" w:type="pct"/>
            <w:vMerge w:val="continue"/>
            <w:vAlign w:val="center"/>
          </w:tcPr>
          <w:p>
            <w:pPr>
              <w:rPr>
                <w:rFonts w:ascii="Times New Roman" w:cs="Times New Roman"/>
                <w:sz w:val="21"/>
                <w:szCs w:val="21"/>
              </w:rPr>
            </w:pPr>
          </w:p>
        </w:tc>
        <w:tc>
          <w:tcPr>
            <w:tcW w:w="855" w:type="pct"/>
            <w:vMerge w:val="continue"/>
            <w:vAlign w:val="center"/>
          </w:tcPr>
          <w:p>
            <w:pPr>
              <w:pStyle w:val="45"/>
              <w:kinsoku w:val="0"/>
              <w:overflowPunct w:val="0"/>
              <w:spacing w:before="99"/>
              <w:ind w:left="70" w:right="60"/>
              <w:jc w:val="center"/>
              <w:rPr>
                <w:rFonts w:ascii="Times New Roman" w:cs="Times New Roman"/>
                <w:sz w:val="21"/>
                <w:szCs w:val="21"/>
              </w:rPr>
            </w:pPr>
          </w:p>
        </w:tc>
        <w:tc>
          <w:tcPr>
            <w:tcW w:w="169" w:type="pct"/>
            <w:vMerge w:val="continue"/>
            <w:vAlign w:val="center"/>
          </w:tcPr>
          <w:p>
            <w:pPr>
              <w:snapToGrid w:val="0"/>
              <w:spacing w:line="400" w:lineRule="exact"/>
              <w:jc w:val="center"/>
              <w:rPr>
                <w:rFonts w:ascii="Times New Roman" w:cs="Times New Roman"/>
                <w:sz w:val="21"/>
                <w:szCs w:val="21"/>
              </w:rPr>
            </w:pPr>
          </w:p>
        </w:tc>
      </w:tr>
    </w:tbl>
    <w:p>
      <w:pPr>
        <w:snapToGrid w:val="0"/>
        <w:spacing w:line="360" w:lineRule="auto"/>
        <w:rPr>
          <w:rFonts w:ascii="Times New Roman" w:cs="Times New Roman"/>
          <w:color w:val="FF0000"/>
          <w:szCs w:val="21"/>
        </w:rPr>
      </w:pPr>
    </w:p>
    <w:p>
      <w:pPr>
        <w:pStyle w:val="6"/>
        <w:numPr>
          <w:ilvl w:val="0"/>
          <w:numId w:val="4"/>
        </w:numPr>
        <w:kinsoku w:val="0"/>
        <w:overflowPunct w:val="0"/>
        <w:spacing w:before="66"/>
        <w:rPr>
          <w:rFonts w:ascii="Times New Roman" w:eastAsia="明黑等宽" w:cs="Times New Roman"/>
          <w:b/>
          <w:color w:val="000000" w:themeColor="text1"/>
          <w:highlight w:val="none"/>
          <w14:textFill>
            <w14:solidFill>
              <w14:schemeClr w14:val="tx1"/>
            </w14:solidFill>
          </w14:textFill>
        </w:rPr>
      </w:pPr>
      <w:r>
        <w:rPr>
          <w:rFonts w:hint="eastAsia" w:ascii="Times New Roman" w:eastAsia="明黑等宽" w:cs="Times New Roman"/>
          <w:b/>
          <w:color w:val="000000" w:themeColor="text1"/>
          <w:highlight w:val="none"/>
          <w14:textFill>
            <w14:solidFill>
              <w14:schemeClr w14:val="tx1"/>
            </w14:solidFill>
          </w14:textFill>
        </w:rPr>
        <w:t>劳动教育</w:t>
      </w:r>
    </w:p>
    <w:p>
      <w:pPr>
        <w:pStyle w:val="6"/>
        <w:kinsoku w:val="0"/>
        <w:overflowPunct w:val="0"/>
        <w:spacing w:before="66"/>
        <w:jc w:val="center"/>
        <w:rPr>
          <w:rFonts w:ascii="Times New Roman" w:cs="Times New Roman"/>
          <w:b/>
          <w:sz w:val="21"/>
          <w:szCs w:val="21"/>
        </w:rPr>
      </w:pPr>
      <w:r>
        <w:rPr>
          <w:rFonts w:hint="eastAsia" w:ascii="Times New Roman" w:cs="Times New Roman"/>
          <w:b/>
          <w:sz w:val="21"/>
          <w:szCs w:val="21"/>
        </w:rPr>
        <w:t>表</w:t>
      </w:r>
      <w:r>
        <w:rPr>
          <w:rFonts w:ascii="Times New Roman" w:cs="Times New Roman"/>
          <w:b/>
          <w:sz w:val="21"/>
          <w:szCs w:val="21"/>
        </w:rPr>
        <w:t xml:space="preserve">3-2 </w:t>
      </w:r>
      <w:r>
        <w:rPr>
          <w:rFonts w:hint="eastAsia" w:ascii="Times New Roman" w:cs="Times New Roman"/>
          <w:b/>
          <w:sz w:val="21"/>
          <w:szCs w:val="21"/>
        </w:rPr>
        <w:t>课程目标、学习内容和教学方法对应关系</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5"/>
        <w:gridCol w:w="919"/>
        <w:gridCol w:w="645"/>
        <w:gridCol w:w="3390"/>
        <w:gridCol w:w="810"/>
        <w:gridCol w:w="810"/>
        <w:gridCol w:w="1530"/>
        <w:gridCol w:w="705"/>
        <w:gridCol w:w="915"/>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5"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序号</w:t>
            </w:r>
          </w:p>
        </w:tc>
        <w:tc>
          <w:tcPr>
            <w:tcW w:w="919"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项目名称</w:t>
            </w:r>
          </w:p>
        </w:tc>
        <w:tc>
          <w:tcPr>
            <w:tcW w:w="645"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项目来源</w:t>
            </w:r>
          </w:p>
        </w:tc>
        <w:tc>
          <w:tcPr>
            <w:tcW w:w="3390"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教学目标（观测点、重难点）</w:t>
            </w:r>
          </w:p>
        </w:tc>
        <w:tc>
          <w:tcPr>
            <w:tcW w:w="810"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学时数</w:t>
            </w:r>
          </w:p>
        </w:tc>
        <w:tc>
          <w:tcPr>
            <w:tcW w:w="810"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项目类型</w:t>
            </w:r>
          </w:p>
        </w:tc>
        <w:tc>
          <w:tcPr>
            <w:tcW w:w="1530"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要求</w:t>
            </w:r>
          </w:p>
        </w:tc>
        <w:tc>
          <w:tcPr>
            <w:tcW w:w="705"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每组人数</w:t>
            </w:r>
          </w:p>
        </w:tc>
        <w:tc>
          <w:tcPr>
            <w:tcW w:w="915"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教学方法</w:t>
            </w:r>
          </w:p>
        </w:tc>
        <w:tc>
          <w:tcPr>
            <w:tcW w:w="3785" w:type="dxa"/>
            <w:vAlign w:val="center"/>
          </w:tcPr>
          <w:p>
            <w:pPr>
              <w:spacing w:line="360" w:lineRule="auto"/>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85" w:type="dxa"/>
            <w:vMerge w:val="restart"/>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w:t>
            </w:r>
          </w:p>
        </w:tc>
        <w:tc>
          <w:tcPr>
            <w:tcW w:w="919" w:type="dxa"/>
            <w:vMerge w:val="restart"/>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土壤污染修复模拟装置的设计、制作及运行效果</w:t>
            </w:r>
          </w:p>
        </w:tc>
        <w:tc>
          <w:tcPr>
            <w:tcW w:w="645" w:type="dxa"/>
            <w:vMerge w:val="restart"/>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Cs w:val="21"/>
                <w14:textFill>
                  <w14:solidFill>
                    <w14:schemeClr w14:val="tx1"/>
                  </w14:solidFill>
                </w14:textFill>
              </w:rPr>
              <w:t>实验教材</w:t>
            </w:r>
          </w:p>
        </w:tc>
        <w:tc>
          <w:tcPr>
            <w:tcW w:w="3390" w:type="dxa"/>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4"/>
                <w14:textFill>
                  <w14:solidFill>
                    <w14:schemeClr w14:val="tx1"/>
                  </w14:solidFill>
                </w14:textFill>
              </w:rPr>
              <w:t>对土壤污染修复工程的设施、设备和工艺流程的认识程度</w:t>
            </w:r>
          </w:p>
        </w:tc>
        <w:tc>
          <w:tcPr>
            <w:tcW w:w="810" w:type="dxa"/>
            <w:vMerge w:val="restart"/>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w:t>
            </w:r>
          </w:p>
        </w:tc>
        <w:tc>
          <w:tcPr>
            <w:tcW w:w="810" w:type="dxa"/>
            <w:vMerge w:val="restart"/>
            <w:vAlign w:val="center"/>
          </w:tcPr>
          <w:p>
            <w:pPr>
              <w:snapToGrid w:val="0"/>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Cs w:val="21"/>
                <w14:textFill>
                  <w14:solidFill>
                    <w14:schemeClr w14:val="tx1"/>
                  </w14:solidFill>
                </w14:textFill>
              </w:rPr>
              <w:t>综合性</w:t>
            </w:r>
          </w:p>
        </w:tc>
        <w:tc>
          <w:tcPr>
            <w:tcW w:w="1530" w:type="dxa"/>
            <w:vMerge w:val="restart"/>
            <w:vAlign w:val="center"/>
          </w:tcPr>
          <w:p>
            <w:pPr>
              <w:snapToGrid w:val="0"/>
              <w:jc w:val="center"/>
              <w:rPr>
                <w:rFonts w:ascii="Times New Roman" w:cs="Times New Roman"/>
                <w:color w:val="000000" w:themeColor="text1"/>
                <w:sz w:val="2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实验装置设计布局合理，工艺流程符合实际，细节处理得当，图纸规范，标注符合要求。装置运行效果稳定、良好，污染物的去除效果明显，数据真实、可行。</w:t>
            </w:r>
          </w:p>
        </w:tc>
        <w:tc>
          <w:tcPr>
            <w:tcW w:w="705" w:type="dxa"/>
            <w:vMerge w:val="restart"/>
            <w:vAlign w:val="center"/>
          </w:tcPr>
          <w:p>
            <w:pPr>
              <w:snapToGrid w:val="0"/>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3-4</w:t>
            </w:r>
          </w:p>
        </w:tc>
        <w:tc>
          <w:tcPr>
            <w:tcW w:w="915" w:type="dxa"/>
            <w:vMerge w:val="restart"/>
            <w:vAlign w:val="center"/>
          </w:tcPr>
          <w:p>
            <w:pPr>
              <w:snapToGrid w:val="0"/>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Cs w:val="21"/>
                <w14:textFill>
                  <w14:solidFill>
                    <w14:schemeClr w14:val="tx1"/>
                  </w14:solidFill>
                </w14:textFill>
              </w:rPr>
              <w:t>实验指导</w:t>
            </w:r>
          </w:p>
        </w:tc>
        <w:tc>
          <w:tcPr>
            <w:tcW w:w="3785" w:type="dxa"/>
            <w:vMerge w:val="restart"/>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4"/>
                <w14:textFill>
                  <w14:solidFill>
                    <w14:schemeClr w14:val="tx1"/>
                  </w14:solidFill>
                </w14:textFill>
              </w:rPr>
              <w:t>了解土壤的基本物理化学性质，了解污染土壤修复的技术和防治方法，了解土壤污染修复工程的设施、设备和工艺流程。能对土壤污染修复中遇到的问题进行初步研究。具有主动参与、理论联系实际、分析问题、解决问题的学习态度和思想意识；具备实事求是的科学态度与创新精神；具有团队合作的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4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9"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64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390" w:type="dxa"/>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4"/>
                <w14:textFill>
                  <w14:solidFill>
                    <w14:schemeClr w14:val="tx1"/>
                  </w14:solidFill>
                </w14:textFill>
              </w:rPr>
              <w:t>对土壤污染修复中遇到的问题进行初步研究的能力</w:t>
            </w: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153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70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7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9"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64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390" w:type="dxa"/>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r>
              <w:rPr>
                <w:rFonts w:hint="eastAsia"/>
                <w:color w:val="000000" w:themeColor="text1"/>
                <w:sz w:val="24"/>
                <w14:textFill>
                  <w14:solidFill>
                    <w14:schemeClr w14:val="tx1"/>
                  </w14:solidFill>
                </w14:textFill>
              </w:rPr>
              <w:t>主动参与、理论联系实际、分析问题、解决问题的学习态度和思想意识</w:t>
            </w: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153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70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7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4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9"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64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390" w:type="dxa"/>
            <w:vAlign w:val="center"/>
          </w:tcPr>
          <w:p>
            <w:pPr>
              <w:snapToGrid w:val="0"/>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科学态度与创新精神；团队合作的意识</w:t>
            </w: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81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1530"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70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91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c>
          <w:tcPr>
            <w:tcW w:w="3785" w:type="dxa"/>
            <w:vMerge w:val="continue"/>
            <w:vAlign w:val="center"/>
          </w:tcPr>
          <w:p>
            <w:pPr>
              <w:snapToGrid w:val="0"/>
              <w:spacing w:line="360" w:lineRule="auto"/>
              <w:jc w:val="center"/>
              <w:rPr>
                <w:rFonts w:ascii="Times New Roman" w:cs="Times New Roman"/>
                <w:color w:val="000000" w:themeColor="text1"/>
                <w:sz w:val="21"/>
                <w:szCs w:val="21"/>
                <w14:textFill>
                  <w14:solidFill>
                    <w14:schemeClr w14:val="tx1"/>
                  </w14:solidFill>
                </w14:textFill>
              </w:rPr>
            </w:pPr>
          </w:p>
        </w:tc>
      </w:tr>
    </w:tbl>
    <w:p>
      <w:pPr>
        <w:snapToGrid w:val="0"/>
        <w:spacing w:line="360" w:lineRule="auto"/>
        <w:rPr>
          <w:rFonts w:ascii="Times New Roman" w:cs="Times New Roman"/>
          <w:color w:val="FF0000"/>
          <w:szCs w:val="21"/>
        </w:rPr>
      </w:pPr>
    </w:p>
    <w:p>
      <w:pPr>
        <w:snapToGrid w:val="0"/>
        <w:spacing w:line="360" w:lineRule="auto"/>
        <w:rPr>
          <w:rFonts w:ascii="Times New Roman" w:cs="Times New Roman"/>
          <w:color w:val="FF0000"/>
          <w:szCs w:val="21"/>
        </w:rPr>
      </w:pPr>
    </w:p>
    <w:p>
      <w:pPr>
        <w:snapToGrid w:val="0"/>
        <w:spacing w:line="360" w:lineRule="auto"/>
        <w:rPr>
          <w:rFonts w:hint="eastAsia" w:ascii="Times New Roman" w:cs="Times New Roman"/>
          <w:color w:val="FF0000"/>
          <w:szCs w:val="21"/>
        </w:rPr>
        <w:sectPr>
          <w:pgSz w:w="16840" w:h="11910" w:orient="landscape"/>
          <w:pgMar w:top="1417" w:right="1417" w:bottom="1417" w:left="1417" w:header="720" w:footer="720" w:gutter="0"/>
          <w:cols w:space="720" w:num="1"/>
          <w:docGrid w:linePitch="299" w:charSpace="0"/>
        </w:sectPr>
      </w:pPr>
    </w:p>
    <w:p>
      <w:pPr>
        <w:pStyle w:val="3"/>
        <w:kinsoku w:val="0"/>
        <w:overflowPunct w:val="0"/>
        <w:snapToGrid w:val="0"/>
        <w:spacing w:before="0" w:after="120" w:afterLines="50"/>
        <w:ind w:left="0" w:firstLine="562" w:firstLineChars="200"/>
        <w:rPr>
          <w:rFonts w:ascii="Times New Roman" w:eastAsia="黑体" w:cs="Times New Roman"/>
        </w:rPr>
      </w:pPr>
      <w:r>
        <w:rPr>
          <w:rFonts w:hint="eastAsia" w:ascii="Times New Roman" w:eastAsia="黑体" w:cs="Times New Roman"/>
        </w:rPr>
        <w:t>四、课程考核</w:t>
      </w:r>
    </w:p>
    <w:p>
      <w:pPr>
        <w:snapToGrid w:val="0"/>
        <w:spacing w:line="360" w:lineRule="auto"/>
        <w:ind w:firstLine="482" w:firstLineChars="200"/>
        <w:rPr>
          <w:rFonts w:ascii="Times New Roman" w:cs="Times New Roman"/>
          <w:color w:val="FF0000"/>
          <w:sz w:val="24"/>
          <w:szCs w:val="24"/>
        </w:rPr>
      </w:pPr>
      <w:r>
        <w:rPr>
          <w:rFonts w:hint="eastAsia" w:ascii="Times New Roman" w:eastAsia="黑体" w:cs="Times New Roman"/>
          <w:b/>
          <w:sz w:val="24"/>
          <w:szCs w:val="24"/>
        </w:rPr>
        <w:t>（一）考核内容与考核方式</w:t>
      </w:r>
    </w:p>
    <w:p>
      <w:pPr>
        <w:pStyle w:val="6"/>
        <w:kinsoku w:val="0"/>
        <w:overflowPunct w:val="0"/>
        <w:spacing w:before="66"/>
        <w:jc w:val="center"/>
        <w:rPr>
          <w:rFonts w:ascii="Times New Roman" w:cs="Times New Roman"/>
          <w:b/>
          <w:sz w:val="21"/>
          <w:szCs w:val="21"/>
        </w:rPr>
      </w:pPr>
      <w:r>
        <w:rPr>
          <w:rFonts w:hint="eastAsia" w:ascii="Times New Roman" w:cs="Times New Roman"/>
          <w:b/>
          <w:sz w:val="21"/>
          <w:szCs w:val="21"/>
        </w:rPr>
        <w:t>表</w:t>
      </w:r>
      <w:r>
        <w:rPr>
          <w:rFonts w:ascii="Times New Roman" w:cs="Times New Roman"/>
          <w:b/>
          <w:sz w:val="21"/>
          <w:szCs w:val="21"/>
        </w:rPr>
        <w:t xml:space="preserve">4-1 </w:t>
      </w:r>
      <w:r>
        <w:rPr>
          <w:rFonts w:hint="eastAsia" w:ascii="Times New Roman" w:cs="Times New Roman"/>
          <w:b/>
          <w:sz w:val="21"/>
          <w:szCs w:val="21"/>
        </w:rPr>
        <w:t>课程目标、考核内容与考核方式对应关系</w:t>
      </w:r>
    </w:p>
    <w:p>
      <w:pPr>
        <w:pStyle w:val="6"/>
        <w:kinsoku w:val="0"/>
        <w:overflowPunct w:val="0"/>
        <w:spacing w:before="66"/>
        <w:jc w:val="center"/>
        <w:rPr>
          <w:rFonts w:ascii="Times New Roman" w:cs="Times New Roman"/>
          <w:b/>
          <w:sz w:val="21"/>
          <w:szCs w:val="21"/>
        </w:rPr>
      </w:pPr>
    </w:p>
    <w:tbl>
      <w:tblPr>
        <w:tblStyle w:val="12"/>
        <w:tblW w:w="9782" w:type="dxa"/>
        <w:tblInd w:w="-176" w:type="dxa"/>
        <w:tblLayout w:type="fixed"/>
        <w:tblCellMar>
          <w:top w:w="0" w:type="dxa"/>
          <w:left w:w="108" w:type="dxa"/>
          <w:bottom w:w="0" w:type="dxa"/>
          <w:right w:w="108" w:type="dxa"/>
        </w:tblCellMar>
      </w:tblPr>
      <w:tblGrid>
        <w:gridCol w:w="1174"/>
        <w:gridCol w:w="3500"/>
        <w:gridCol w:w="2607"/>
        <w:gridCol w:w="1125"/>
        <w:gridCol w:w="1376"/>
      </w:tblGrid>
      <w:tr>
        <w:tblPrEx>
          <w:tblCellMar>
            <w:top w:w="0" w:type="dxa"/>
            <w:left w:w="108" w:type="dxa"/>
            <w:bottom w:w="0" w:type="dxa"/>
            <w:right w:w="108" w:type="dxa"/>
          </w:tblCellMar>
        </w:tblPrEx>
        <w:trPr>
          <w:trHeight w:val="623" w:hRule="atLeast"/>
        </w:trPr>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5"/>
              <w:jc w:val="center"/>
              <w:rPr>
                <w:rFonts w:ascii="明黑等宽" w:eastAsia="明黑等宽"/>
                <w:b/>
                <w:color w:val="000000"/>
                <w:sz w:val="22"/>
              </w:rPr>
            </w:pPr>
            <w:r>
              <w:rPr>
                <w:rFonts w:ascii="明黑等宽" w:eastAsia="明黑等宽"/>
                <w:b/>
                <w:color w:val="000000"/>
                <w:sz w:val="22"/>
              </w:rPr>
              <w:t>课程目标</w:t>
            </w: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71"/>
              <w:ind w:left="1165" w:right="1156"/>
              <w:jc w:val="center"/>
              <w:rPr>
                <w:rFonts w:ascii="明黑等宽" w:eastAsia="明黑等宽"/>
                <w:b/>
                <w:color w:val="000000"/>
                <w:sz w:val="22"/>
              </w:rPr>
            </w:pPr>
            <w:r>
              <w:rPr>
                <w:rFonts w:ascii="明黑等宽" w:eastAsia="明黑等宽"/>
                <w:b/>
                <w:color w:val="000000"/>
                <w:sz w:val="22"/>
              </w:rPr>
              <w:t>考核内容</w:t>
            </w:r>
          </w:p>
        </w:tc>
        <w:tc>
          <w:tcPr>
            <w:tcW w:w="2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5"/>
              <w:ind w:left="131"/>
              <w:jc w:val="center"/>
              <w:rPr>
                <w:rFonts w:ascii="明黑等宽" w:eastAsia="明黑等宽"/>
                <w:b/>
                <w:color w:val="000000"/>
                <w:sz w:val="22"/>
              </w:rPr>
            </w:pPr>
            <w:r>
              <w:rPr>
                <w:rFonts w:ascii="明黑等宽" w:eastAsia="明黑等宽"/>
                <w:b/>
                <w:color w:val="000000"/>
                <w:sz w:val="22"/>
              </w:rPr>
              <w:t>所属</w:t>
            </w:r>
          </w:p>
          <w:p>
            <w:pPr>
              <w:pStyle w:val="45"/>
              <w:kinsoku w:val="0"/>
              <w:overflowPunct w:val="0"/>
              <w:spacing w:before="15"/>
              <w:jc w:val="center"/>
              <w:rPr>
                <w:rFonts w:ascii="明黑等宽" w:eastAsia="明黑等宽"/>
                <w:b/>
                <w:color w:val="000000"/>
                <w:sz w:val="22"/>
              </w:rPr>
            </w:pPr>
            <w:r>
              <w:rPr>
                <w:rFonts w:ascii="明黑等宽" w:eastAsia="明黑等宽"/>
                <w:b/>
                <w:color w:val="000000"/>
                <w:sz w:val="22"/>
              </w:rPr>
              <w:t>学习模块</w:t>
            </w: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71"/>
              <w:ind w:left="183" w:right="177"/>
              <w:jc w:val="center"/>
              <w:rPr>
                <w:rFonts w:ascii="明黑等宽" w:eastAsia="明黑等宽"/>
                <w:b/>
                <w:color w:val="000000"/>
                <w:sz w:val="22"/>
              </w:rPr>
            </w:pPr>
            <w:r>
              <w:rPr>
                <w:rFonts w:ascii="明黑等宽" w:eastAsia="明黑等宽"/>
                <w:b/>
                <w:color w:val="000000"/>
                <w:sz w:val="22"/>
              </w:rPr>
              <w:t>考核占比</w:t>
            </w:r>
          </w:p>
        </w:tc>
        <w:tc>
          <w:tcPr>
            <w:tcW w:w="13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5"/>
              <w:jc w:val="center"/>
              <w:rPr>
                <w:rFonts w:ascii="明黑等宽" w:eastAsia="明黑等宽"/>
                <w:b/>
                <w:color w:val="000000"/>
                <w:sz w:val="22"/>
              </w:rPr>
            </w:pPr>
            <w:r>
              <w:rPr>
                <w:rFonts w:ascii="明黑等宽" w:eastAsia="明黑等宽"/>
                <w:b/>
                <w:color w:val="000000"/>
                <w:sz w:val="22"/>
              </w:rPr>
              <w:t>考核方式</w:t>
            </w:r>
          </w:p>
        </w:tc>
      </w:tr>
      <w:tr>
        <w:tblPrEx>
          <w:tblCellMar>
            <w:top w:w="0" w:type="dxa"/>
            <w:left w:w="108" w:type="dxa"/>
            <w:bottom w:w="0" w:type="dxa"/>
            <w:right w:w="108" w:type="dxa"/>
          </w:tblCellMar>
        </w:tblPrEx>
        <w:trPr>
          <w:trHeight w:val="326" w:hRule="atLeast"/>
        </w:trPr>
        <w:tc>
          <w:tcPr>
            <w:tcW w:w="1174" w:type="dxa"/>
            <w:vMerge w:val="restart"/>
            <w:tcBorders>
              <w:top w:val="single" w:color="000000" w:sz="4" w:space="0"/>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r>
              <w:rPr>
                <w:color w:val="000000"/>
                <w:sz w:val="21"/>
              </w:rPr>
              <w:t>课程</w:t>
            </w:r>
          </w:p>
          <w:p>
            <w:pPr>
              <w:pStyle w:val="45"/>
              <w:kinsoku w:val="0"/>
              <w:overflowPunct w:val="0"/>
              <w:spacing w:line="278" w:lineRule="auto"/>
              <w:ind w:left="242" w:right="101" w:hanging="132"/>
              <w:jc w:val="center"/>
              <w:rPr>
                <w:color w:val="000000"/>
                <w:sz w:val="21"/>
              </w:rPr>
            </w:pPr>
            <w:r>
              <w:rPr>
                <w:color w:val="000000"/>
                <w:sz w:val="21"/>
              </w:rPr>
              <w:t>目标 1</w:t>
            </w: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1.土壤污染的定义、特点及来源</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1.绪论</w:t>
            </w:r>
          </w:p>
        </w:tc>
        <w:tc>
          <w:tcPr>
            <w:tcW w:w="1125" w:type="dxa"/>
            <w:vMerge w:val="restart"/>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41%</w:t>
            </w:r>
          </w:p>
        </w:tc>
        <w:tc>
          <w:tcPr>
            <w:tcW w:w="1376" w:type="dxa"/>
            <w:vMerge w:val="restart"/>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1.讨论</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2.作业</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3.课堂参与</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4.闭卷考试</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2.土壤学基础知识</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2.土壤学基础知识</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hint="eastAsia"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3.土壤</w:t>
            </w:r>
            <w:r>
              <w:rPr>
                <w:rFonts w:hint="eastAsia" w:ascii="Times New Roman" w:cs="Times New Roman"/>
                <w:color w:val="000000" w:themeColor="text1"/>
                <w:sz w:val="21"/>
                <w:szCs w:val="21"/>
                <w14:textFill>
                  <w14:solidFill>
                    <w14:schemeClr w14:val="tx1"/>
                  </w14:solidFill>
                </w14:textFill>
              </w:rPr>
              <w:t>障碍因子及其修复</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3.土壤</w:t>
            </w:r>
            <w:r>
              <w:rPr>
                <w:rFonts w:hint="eastAsia" w:ascii="Times New Roman" w:cs="Times New Roman"/>
                <w:color w:val="000000" w:themeColor="text1"/>
                <w:sz w:val="21"/>
                <w:szCs w:val="21"/>
                <w14:textFill>
                  <w14:solidFill>
                    <w14:schemeClr w14:val="tx1"/>
                  </w14:solidFill>
                </w14:textFill>
              </w:rPr>
              <w:t>障碍因子及其修复</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4" w:hRule="atLeast"/>
        </w:trPr>
        <w:tc>
          <w:tcPr>
            <w:tcW w:w="1174" w:type="dxa"/>
            <w:vMerge w:val="continue"/>
            <w:tcBorders>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w:t>
            </w:r>
            <w:r>
              <w:rPr>
                <w:rFonts w:hint="eastAsia" w:ascii="Times New Roman" w:cs="Times New Roman"/>
                <w:color w:val="000000" w:themeColor="text1"/>
                <w:sz w:val="21"/>
                <w:szCs w:val="21"/>
                <w14:textFill>
                  <w14:solidFill>
                    <w14:schemeClr w14:val="tx1"/>
                  </w14:solidFill>
                </w14:textFill>
              </w:rPr>
              <w:t>农用地土壤污染修复</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w:t>
            </w:r>
            <w:r>
              <w:rPr>
                <w:rFonts w:hint="eastAsia" w:ascii="Times New Roman" w:cs="Times New Roman"/>
                <w:color w:val="000000" w:themeColor="text1"/>
                <w:sz w:val="21"/>
                <w:szCs w:val="21"/>
                <w14:textFill>
                  <w14:solidFill>
                    <w14:schemeClr w14:val="tx1"/>
                  </w14:solidFill>
                </w14:textFill>
              </w:rPr>
              <w:t>农用地土壤污染修复</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14:textFill>
                  <w14:solidFill>
                    <w14:schemeClr w14:val="tx1"/>
                  </w14:solidFill>
                </w14:textFill>
              </w:rPr>
              <w:t>建设用地土壤污染修复</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5.</w:t>
            </w:r>
            <w:r>
              <w:rPr>
                <w:rFonts w:hint="eastAsia" w:ascii="Times New Roman" w:cs="Times New Roman"/>
                <w:color w:val="000000" w:themeColor="text1"/>
                <w:sz w:val="21"/>
                <w:szCs w:val="21"/>
                <w14:textFill>
                  <w14:solidFill>
                    <w14:schemeClr w14:val="tx1"/>
                  </w14:solidFill>
                </w14:textFill>
              </w:rPr>
              <w:t>建设用地土壤污染修复</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6.</w:t>
            </w:r>
            <w:r>
              <w:rPr>
                <w:rFonts w:hint="eastAsia" w:ascii="Times New Roman" w:cs="Times New Roman"/>
                <w:color w:val="000000" w:themeColor="text1"/>
                <w:sz w:val="21"/>
                <w:szCs w:val="21"/>
                <w14:textFill>
                  <w14:solidFill>
                    <w14:schemeClr w14:val="tx1"/>
                  </w14:solidFill>
                </w14:textFill>
              </w:rPr>
              <w:t>地下水污染修复</w:t>
            </w:r>
          </w:p>
        </w:tc>
        <w:tc>
          <w:tcPr>
            <w:tcW w:w="2607"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6.</w:t>
            </w:r>
            <w:r>
              <w:rPr>
                <w:rFonts w:hint="eastAsia" w:ascii="Times New Roman" w:cs="Times New Roman"/>
                <w:color w:val="000000" w:themeColor="text1"/>
                <w:sz w:val="21"/>
                <w:szCs w:val="21"/>
                <w14:textFill>
                  <w14:solidFill>
                    <w14:schemeClr w14:val="tx1"/>
                  </w14:solidFill>
                </w14:textFill>
              </w:rPr>
              <w:t>地下水污染修复</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36" w:hRule="atLeast"/>
        </w:trPr>
        <w:tc>
          <w:tcPr>
            <w:tcW w:w="1174" w:type="dxa"/>
            <w:vMerge w:val="continue"/>
            <w:tcBorders>
              <w:left w:val="single" w:color="000000" w:sz="4" w:space="0"/>
              <w:right w:val="single" w:color="000000" w:sz="4" w:space="0"/>
              <w:tl2br w:val="nil"/>
              <w:tr2bl w:val="nil"/>
            </w:tcBorders>
            <w:vAlign w:val="center"/>
          </w:tcPr>
          <w:p>
            <w:pPr>
              <w:pStyle w:val="6"/>
              <w:kinsoku w:val="0"/>
              <w:overflowPunct w:val="0"/>
              <w:spacing w:before="4"/>
              <w:jc w:val="center"/>
              <w:rPr>
                <w:color w:val="000000"/>
                <w:sz w:val="2"/>
              </w:rPr>
            </w:pPr>
          </w:p>
        </w:tc>
        <w:tc>
          <w:tcPr>
            <w:tcW w:w="3500"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7</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常用配套技术</w:t>
            </w:r>
          </w:p>
        </w:tc>
        <w:tc>
          <w:tcPr>
            <w:tcW w:w="2607" w:type="dxa"/>
            <w:tcBorders>
              <w:top w:val="single" w:color="000000" w:sz="4" w:space="0"/>
              <w:left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7</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常用配套技术</w:t>
            </w:r>
          </w:p>
        </w:tc>
        <w:tc>
          <w:tcPr>
            <w:tcW w:w="1125" w:type="dxa"/>
            <w:vMerge w:val="continue"/>
            <w:tcBorders>
              <w:left w:val="single" w:color="000000" w:sz="4" w:space="0"/>
              <w:right w:val="single" w:color="000000" w:sz="4" w:space="0"/>
              <w:tl2br w:val="nil"/>
              <w:tr2bl w:val="nil"/>
            </w:tcBorders>
            <w:vAlign w:val="center"/>
          </w:tcPr>
          <w:p>
            <w:pPr>
              <w:pStyle w:val="45"/>
              <w:kinsoku w:val="0"/>
              <w:overflowPunct w:val="0"/>
              <w:spacing w:before="15"/>
              <w:ind w:right="177"/>
              <w:jc w:val="both"/>
              <w:rPr>
                <w:rFonts w:ascii="Times New Roman" w:cs="Times New Roman"/>
                <w:color w:val="000000" w:themeColor="text1"/>
                <w:sz w:val="21"/>
                <w:szCs w:val="21"/>
                <w14:textFill>
                  <w14:solidFill>
                    <w14:schemeClr w14:val="tx1"/>
                  </w14:solidFill>
                </w14:textFill>
              </w:rPr>
            </w:pPr>
          </w:p>
        </w:tc>
        <w:tc>
          <w:tcPr>
            <w:tcW w:w="1376" w:type="dxa"/>
            <w:vMerge w:val="continue"/>
            <w:tcBorders>
              <w:left w:val="single" w:color="000000" w:sz="4" w:space="0"/>
              <w:right w:val="single" w:color="000000" w:sz="4" w:space="0"/>
              <w:tl2br w:val="nil"/>
              <w:tr2bl w:val="nil"/>
            </w:tcBorders>
            <w:vAlign w:val="center"/>
          </w:tcPr>
          <w:p>
            <w:pPr>
              <w:pStyle w:val="6"/>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919" w:hRule="atLeast"/>
        </w:trPr>
        <w:tc>
          <w:tcPr>
            <w:tcW w:w="1174"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r>
              <w:rPr>
                <w:color w:val="000000"/>
                <w:sz w:val="21"/>
              </w:rPr>
              <w:t>课程</w:t>
            </w:r>
          </w:p>
          <w:p>
            <w:pPr>
              <w:pStyle w:val="45"/>
              <w:kinsoku w:val="0"/>
              <w:overflowPunct w:val="0"/>
              <w:spacing w:line="278" w:lineRule="auto"/>
              <w:ind w:left="242" w:right="101" w:hanging="132"/>
              <w:jc w:val="center"/>
              <w:rPr>
                <w:color w:val="000000"/>
                <w:sz w:val="21"/>
              </w:rPr>
            </w:pPr>
            <w:r>
              <w:rPr>
                <w:color w:val="000000"/>
                <w:sz w:val="21"/>
              </w:rPr>
              <w:t>目标 2</w:t>
            </w:r>
          </w:p>
        </w:tc>
        <w:tc>
          <w:tcPr>
            <w:tcW w:w="3500"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理解和灵活运用土壤学的基本理论和基础知识；</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土壤修复技术的基本技能；</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w:t>
            </w:r>
            <w:r>
              <w:rPr>
                <w:rFonts w:hint="eastAsia" w:ascii="Times New Roman" w:cs="Times New Roman"/>
                <w:color w:val="000000" w:themeColor="text1"/>
                <w:sz w:val="21"/>
                <w:szCs w:val="21"/>
                <w14:textFill>
                  <w14:solidFill>
                    <w14:schemeClr w14:val="tx1"/>
                  </w14:solidFill>
                </w14:textFill>
              </w:rPr>
              <w:t>对</w:t>
            </w:r>
            <w:r>
              <w:rPr>
                <w:rFonts w:ascii="Times New Roman" w:cs="Times New Roman"/>
                <w:color w:val="000000" w:themeColor="text1"/>
                <w:sz w:val="21"/>
                <w:szCs w:val="21"/>
                <w14:textFill>
                  <w14:solidFill>
                    <w14:schemeClr w14:val="tx1"/>
                  </w14:solidFill>
                </w14:textFill>
              </w:rPr>
              <w:t>土壤环境污染调查、监测与评价</w:t>
            </w:r>
            <w:r>
              <w:rPr>
                <w:rFonts w:hint="eastAsia" w:ascii="Times New Roman" w:cs="Times New Roman"/>
                <w:color w:val="000000" w:themeColor="text1"/>
                <w:sz w:val="21"/>
                <w:szCs w:val="21"/>
                <w14:textFill>
                  <w14:solidFill>
                    <w14:schemeClr w14:val="tx1"/>
                  </w14:solidFill>
                </w14:textFill>
              </w:rPr>
              <w:t>的理解并能简单应用；</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4.土壤修复的物理修复、化学修复、微生物及植物修复等修复技术方法</w:t>
            </w:r>
            <w:r>
              <w:rPr>
                <w:rFonts w:hint="eastAsia" w:ascii="Times New Roman" w:cs="Times New Roman"/>
                <w:color w:val="000000" w:themeColor="text1"/>
                <w:sz w:val="21"/>
                <w:szCs w:val="21"/>
                <w14:textFill>
                  <w14:solidFill>
                    <w14:schemeClr w14:val="tx1"/>
                  </w14:solidFill>
                </w14:textFill>
              </w:rPr>
              <w:t>的一般原理并能熟练应用；</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5</w:t>
            </w:r>
            <w:r>
              <w:rPr>
                <w:rFonts w:ascii="Times New Roman" w:cs="Times New Roman"/>
                <w:color w:val="000000" w:themeColor="text1"/>
                <w:sz w:val="21"/>
                <w:szCs w:val="21"/>
                <w14:textFill>
                  <w14:solidFill>
                    <w14:schemeClr w14:val="tx1"/>
                  </w14:solidFill>
                </w14:textFill>
              </w:rPr>
              <w:t>.土壤修复工程现场施工的设施、设备和工艺流程</w:t>
            </w:r>
            <w:r>
              <w:rPr>
                <w:rFonts w:hint="eastAsia" w:ascii="Times New Roman" w:cs="Times New Roman"/>
                <w:color w:val="000000" w:themeColor="text1"/>
                <w:sz w:val="21"/>
                <w:szCs w:val="21"/>
                <w14:textFill>
                  <w14:solidFill>
                    <w14:schemeClr w14:val="tx1"/>
                  </w14:solidFill>
                </w14:textFill>
              </w:rPr>
              <w:t>并能简单应用；</w:t>
            </w:r>
          </w:p>
          <w:p>
            <w:pPr>
              <w:pStyle w:val="45"/>
              <w:kinsoku w:val="0"/>
              <w:overflowPunct w:val="0"/>
              <w:spacing w:before="15"/>
              <w:jc w:val="both"/>
              <w:rPr>
                <w:rFonts w:hint="eastAsia"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6</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土壤污染治理与修复学科前沿和先进技术。</w:t>
            </w:r>
          </w:p>
        </w:tc>
        <w:tc>
          <w:tcPr>
            <w:tcW w:w="2607"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全部学习模块</w:t>
            </w:r>
          </w:p>
        </w:tc>
        <w:tc>
          <w:tcPr>
            <w:tcW w:w="1125"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w:t>
            </w:r>
            <w:r>
              <w:rPr>
                <w:rFonts w:hint="eastAsia" w:ascii="Times New Roman" w:cs="Times New Roman"/>
                <w:color w:val="000000" w:themeColor="text1"/>
                <w:sz w:val="21"/>
                <w:szCs w:val="21"/>
                <w:lang w:val="en-US" w:eastAsia="zh-CN"/>
                <w14:textFill>
                  <w14:solidFill>
                    <w14:schemeClr w14:val="tx1"/>
                  </w14:solidFill>
                </w14:textFill>
              </w:rPr>
              <w:t>5</w:t>
            </w:r>
            <w:r>
              <w:rPr>
                <w:rFonts w:ascii="Times New Roman" w:cs="Times New Roman"/>
                <w:color w:val="000000" w:themeColor="text1"/>
                <w:sz w:val="21"/>
                <w:szCs w:val="21"/>
                <w14:textFill>
                  <w14:solidFill>
                    <w14:schemeClr w14:val="tx1"/>
                  </w14:solidFill>
                </w14:textFill>
              </w:rPr>
              <w:t>%</w:t>
            </w:r>
          </w:p>
        </w:tc>
        <w:tc>
          <w:tcPr>
            <w:tcW w:w="1376" w:type="dxa"/>
            <w:tcBorders>
              <w:top w:val="single" w:color="000000" w:sz="4" w:space="0"/>
              <w:left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1.讨论</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2.作业</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3.课堂参与</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4.闭卷考试</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2" w:hRule="atLeast"/>
        </w:trPr>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r>
              <w:rPr>
                <w:color w:val="000000"/>
                <w:sz w:val="21"/>
              </w:rPr>
              <w:t>课程</w:t>
            </w:r>
          </w:p>
          <w:p>
            <w:pPr>
              <w:pStyle w:val="45"/>
              <w:kinsoku w:val="0"/>
              <w:overflowPunct w:val="0"/>
              <w:spacing w:line="278" w:lineRule="auto"/>
              <w:ind w:left="242" w:right="101" w:hanging="132"/>
              <w:jc w:val="center"/>
              <w:rPr>
                <w:color w:val="000000"/>
                <w:sz w:val="21"/>
              </w:rPr>
            </w:pPr>
            <w:r>
              <w:rPr>
                <w:color w:val="000000"/>
                <w:sz w:val="21"/>
              </w:rPr>
              <w:t>目标 3</w:t>
            </w: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土壤修复技术的最新研究成果和发展趋势；</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w:t>
            </w:r>
            <w:r>
              <w:rPr>
                <w:rFonts w:hint="eastAsia" w:ascii="Times New Roman" w:cs="Times New Roman"/>
                <w:color w:val="000000" w:themeColor="text1"/>
                <w:sz w:val="21"/>
                <w:szCs w:val="21"/>
                <w14:textFill>
                  <w14:solidFill>
                    <w14:schemeClr w14:val="tx1"/>
                  </w14:solidFill>
                </w14:textFill>
              </w:rPr>
              <w:t>综合运用土壤修复技术知识对其进行研究，并获得有效结论。</w:t>
            </w:r>
          </w:p>
        </w:tc>
        <w:tc>
          <w:tcPr>
            <w:tcW w:w="2607" w:type="dxa"/>
            <w:tcBorders>
              <w:top w:val="single" w:color="000000" w:sz="4" w:space="0"/>
              <w:left w:val="single" w:color="000000" w:sz="4" w:space="0"/>
              <w:bottom w:val="single" w:color="000000" w:sz="4" w:space="0"/>
              <w:right w:val="single" w:color="auto"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全部学习模块</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14%</w:t>
            </w:r>
          </w:p>
        </w:tc>
        <w:tc>
          <w:tcPr>
            <w:tcW w:w="1376" w:type="dxa"/>
            <w:tcBorders>
              <w:top w:val="single" w:color="000000" w:sz="4" w:space="0"/>
              <w:left w:val="single" w:color="auto" w:sz="4" w:space="0"/>
              <w:bottom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1.讨论</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2.作业</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3.课堂参与</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4.闭卷考试</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52" w:hRule="atLeast"/>
        </w:trPr>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5"/>
              <w:kinsoku w:val="0"/>
              <w:overflowPunct w:val="0"/>
              <w:spacing w:line="278" w:lineRule="auto"/>
              <w:ind w:left="242" w:right="101" w:hanging="132"/>
              <w:jc w:val="center"/>
              <w:rPr>
                <w:color w:val="000000"/>
                <w:sz w:val="21"/>
              </w:rPr>
            </w:pPr>
            <w:r>
              <w:rPr>
                <w:color w:val="000000"/>
                <w:sz w:val="21"/>
              </w:rPr>
              <w:t>课程</w:t>
            </w:r>
          </w:p>
          <w:p>
            <w:pPr>
              <w:pStyle w:val="45"/>
              <w:kinsoku w:val="0"/>
              <w:overflowPunct w:val="0"/>
              <w:spacing w:line="278" w:lineRule="auto"/>
              <w:ind w:left="242" w:right="101" w:hanging="132"/>
              <w:jc w:val="center"/>
              <w:rPr>
                <w:color w:val="000000"/>
                <w:sz w:val="21"/>
              </w:rPr>
            </w:pPr>
            <w:r>
              <w:rPr>
                <w:color w:val="000000"/>
                <w:sz w:val="21"/>
              </w:rPr>
              <w:t>目标4</w:t>
            </w: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运用土壤修复技术学知识去解决实际问题自觉性；</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w:t>
            </w:r>
            <w:r>
              <w:rPr>
                <w:rFonts w:hint="eastAsia" w:ascii="Times New Roman" w:cs="Times New Roman"/>
                <w:color w:val="000000" w:themeColor="text1"/>
                <w:sz w:val="21"/>
                <w:szCs w:val="21"/>
                <w14:textFill>
                  <w14:solidFill>
                    <w14:schemeClr w14:val="tx1"/>
                  </w14:solidFill>
                </w14:textFill>
              </w:rPr>
              <w:t>土壤学的学科价值体会；</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14:textFill>
                  <w14:solidFill>
                    <w14:schemeClr w14:val="tx1"/>
                  </w14:solidFill>
                </w14:textFill>
              </w:rPr>
              <w:t>环保意识、社会责任感，爱国主义情怀、辨证唯物主义的科学世界观和正确的人生价值观。</w:t>
            </w:r>
          </w:p>
        </w:tc>
        <w:tc>
          <w:tcPr>
            <w:tcW w:w="2607" w:type="dxa"/>
            <w:tcBorders>
              <w:top w:val="single" w:color="000000" w:sz="4" w:space="0"/>
              <w:left w:val="single" w:color="000000" w:sz="4" w:space="0"/>
              <w:bottom w:val="single" w:color="000000" w:sz="4" w:space="0"/>
              <w:right w:val="single" w:color="auto"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全部学习模块</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0%</w:t>
            </w:r>
          </w:p>
        </w:tc>
        <w:tc>
          <w:tcPr>
            <w:tcW w:w="1376" w:type="dxa"/>
            <w:tcBorders>
              <w:top w:val="single" w:color="000000" w:sz="4" w:space="0"/>
              <w:left w:val="single" w:color="auto" w:sz="4" w:space="0"/>
              <w:bottom w:val="single" w:color="000000" w:sz="4" w:space="0"/>
              <w:right w:val="single" w:color="000000" w:sz="4" w:space="0"/>
              <w:tl2br w:val="nil"/>
              <w:tr2bl w:val="nil"/>
            </w:tcBorders>
            <w:vAlign w:val="center"/>
          </w:tcPr>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1.讨论</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2.作业</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3.课堂参与</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4.闭卷考试</w:t>
            </w:r>
          </w:p>
          <w:p>
            <w:pPr>
              <w:pStyle w:val="45"/>
              <w:kinsoku w:val="0"/>
              <w:overflowPunct w:val="0"/>
              <w:spacing w:before="15"/>
              <w:jc w:val="both"/>
              <w:rPr>
                <w:rFonts w:ascii="Times New Roman" w:cs="Times New Roman"/>
                <w:color w:val="000000" w:themeColor="text1"/>
                <w:sz w:val="21"/>
                <w:szCs w:val="21"/>
                <w14:textFill>
                  <w14:solidFill>
                    <w14:schemeClr w14:val="tx1"/>
                  </w14:solidFill>
                </w14:textFill>
              </w:rPr>
            </w:pPr>
          </w:p>
        </w:tc>
      </w:tr>
    </w:tbl>
    <w:p>
      <w:pPr>
        <w:pStyle w:val="6"/>
        <w:kinsoku w:val="0"/>
        <w:overflowPunct w:val="0"/>
        <w:spacing w:before="66"/>
        <w:jc w:val="both"/>
        <w:rPr>
          <w:rFonts w:hint="eastAsia" w:ascii="Times New Roman" w:cs="Times New Roman"/>
          <w:b/>
          <w:sz w:val="21"/>
          <w:szCs w:val="21"/>
        </w:rPr>
      </w:pPr>
    </w:p>
    <w:p>
      <w:pPr>
        <w:pStyle w:val="6"/>
        <w:kinsoku w:val="0"/>
        <w:overflowPunct w:val="0"/>
        <w:spacing w:before="66"/>
        <w:jc w:val="center"/>
        <w:rPr>
          <w:rFonts w:hint="eastAsia" w:ascii="Times New Roman" w:cs="Times New Roman"/>
          <w:b/>
          <w:sz w:val="21"/>
          <w:szCs w:val="21"/>
        </w:rPr>
      </w:pPr>
    </w:p>
    <w:p>
      <w:pPr>
        <w:pStyle w:val="6"/>
        <w:kinsoku w:val="0"/>
        <w:overflowPunct w:val="0"/>
        <w:spacing w:before="66"/>
        <w:jc w:val="center"/>
        <w:rPr>
          <w:rFonts w:ascii="Times New Roman" w:eastAsia="黑体" w:cs="Times New Roman"/>
        </w:rPr>
      </w:pPr>
      <w:r>
        <w:rPr>
          <w:rFonts w:hint="eastAsia" w:ascii="Times New Roman" w:cs="Times New Roman"/>
          <w:b/>
          <w:sz w:val="21"/>
          <w:szCs w:val="21"/>
        </w:rPr>
        <w:t>表</w:t>
      </w:r>
      <w:r>
        <w:rPr>
          <w:rFonts w:ascii="Times New Roman" w:cs="Times New Roman"/>
          <w:b/>
          <w:sz w:val="21"/>
          <w:szCs w:val="21"/>
        </w:rPr>
        <w:t xml:space="preserve">4-2 </w:t>
      </w:r>
      <w:r>
        <w:rPr>
          <w:rFonts w:hint="eastAsia" w:ascii="Times New Roman" w:cs="Times New Roman"/>
          <w:b/>
          <w:sz w:val="21"/>
          <w:szCs w:val="21"/>
        </w:rPr>
        <w:t>课程目标与考核方式矩阵关系</w:t>
      </w:r>
    </w:p>
    <w:tbl>
      <w:tblPr>
        <w:tblStyle w:val="1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2"/>
        <w:gridCol w:w="1442"/>
        <w:gridCol w:w="1519"/>
        <w:gridCol w:w="1520"/>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0" w:type="dxa"/>
            <w:vMerge w:val="restart"/>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p>
        </w:tc>
        <w:tc>
          <w:tcPr>
            <w:tcW w:w="1452" w:type="dxa"/>
            <w:vMerge w:val="restart"/>
            <w:vAlign w:val="center"/>
          </w:tcPr>
          <w:p>
            <w:pPr>
              <w:pStyle w:val="45"/>
              <w:kinsoku w:val="0"/>
              <w:overflowPunct w:val="0"/>
              <w:spacing w:before="15"/>
              <w:jc w:val="center"/>
              <w:rPr>
                <w:rFonts w:hint="eastAsia" w:ascii="Times New Roman" w:eastAsia="宋体" w:cs="Times New Roman"/>
                <w:color w:val="000000" w:themeColor="text1"/>
                <w:sz w:val="21"/>
                <w:szCs w:val="21"/>
                <w:lang w:eastAsia="zh-CN"/>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期末</w:t>
            </w:r>
            <w:r>
              <w:rPr>
                <w:rFonts w:hint="eastAsia" w:ascii="Times New Roman" w:cs="Times New Roman"/>
                <w:color w:val="000000" w:themeColor="text1"/>
                <w:sz w:val="21"/>
                <w:szCs w:val="21"/>
                <w:lang w:val="en-US" w:eastAsia="zh-CN"/>
                <w14:textFill>
                  <w14:solidFill>
                    <w14:schemeClr w14:val="tx1"/>
                  </w14:solidFill>
                </w14:textFill>
              </w:rPr>
              <w:t>考核（</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eastAsia="zh-CN"/>
                <w14:textFill>
                  <w14:solidFill>
                    <w14:schemeClr w14:val="tx1"/>
                  </w14:solidFill>
                </w14:textFill>
              </w:rPr>
              <w:t>）</w:t>
            </w:r>
          </w:p>
        </w:tc>
        <w:tc>
          <w:tcPr>
            <w:tcW w:w="4481" w:type="dxa"/>
            <w:gridSpan w:val="3"/>
            <w:vAlign w:val="center"/>
          </w:tcPr>
          <w:p>
            <w:pPr>
              <w:pStyle w:val="4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hint="eastAsia" w:ascii="Times New Roman" w:cs="Times New Roman"/>
                <w:color w:val="000000" w:themeColor="text1"/>
                <w:sz w:val="21"/>
                <w:szCs w:val="21"/>
                <w:lang w:val="en-US" w:eastAsia="zh-CN"/>
                <w14:textFill>
                  <w14:solidFill>
                    <w14:schemeClr w14:val="tx1"/>
                  </w14:solidFill>
                </w14:textFill>
              </w:rPr>
              <w:t>平时考核（60%）</w:t>
            </w:r>
          </w:p>
        </w:tc>
        <w:tc>
          <w:tcPr>
            <w:tcW w:w="2608" w:type="dxa"/>
            <w:vMerge w:val="restart"/>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50" w:type="dxa"/>
            <w:vMerge w:val="continue"/>
            <w:vAlign w:val="center"/>
          </w:tcPr>
          <w:p>
            <w:pPr>
              <w:pStyle w:val="45"/>
              <w:kinsoku w:val="0"/>
              <w:overflowPunct w:val="0"/>
              <w:spacing w:before="15"/>
              <w:jc w:val="center"/>
            </w:pPr>
          </w:p>
        </w:tc>
        <w:tc>
          <w:tcPr>
            <w:tcW w:w="1452" w:type="dxa"/>
            <w:vMerge w:val="continue"/>
            <w:vAlign w:val="center"/>
          </w:tcPr>
          <w:p>
            <w:pPr>
              <w:pStyle w:val="45"/>
              <w:kinsoku w:val="0"/>
              <w:overflowPunct w:val="0"/>
              <w:spacing w:before="15"/>
              <w:jc w:val="center"/>
            </w:pPr>
          </w:p>
        </w:tc>
        <w:tc>
          <w:tcPr>
            <w:tcW w:w="1442" w:type="dxa"/>
            <w:vAlign w:val="center"/>
          </w:tcPr>
          <w:p>
            <w:pPr>
              <w:pStyle w:val="45"/>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小组讨论成绩比例</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w:t>
            </w:r>
          </w:p>
        </w:tc>
        <w:tc>
          <w:tcPr>
            <w:tcW w:w="1519" w:type="dxa"/>
            <w:vAlign w:val="center"/>
          </w:tcPr>
          <w:p>
            <w:pPr>
              <w:pStyle w:val="45"/>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平时作业成绩比例</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w:t>
            </w:r>
          </w:p>
        </w:tc>
        <w:tc>
          <w:tcPr>
            <w:tcW w:w="1520" w:type="dxa"/>
            <w:vAlign w:val="center"/>
          </w:tcPr>
          <w:p>
            <w:pPr>
              <w:pStyle w:val="45"/>
              <w:kinsoku w:val="0"/>
              <w:overflowPunct w:val="0"/>
              <w:spacing w:before="15"/>
              <w:jc w:val="cente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课堂参与成绩比例</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w:t>
            </w:r>
          </w:p>
        </w:tc>
        <w:tc>
          <w:tcPr>
            <w:tcW w:w="2608" w:type="dxa"/>
            <w:vMerge w:val="continue"/>
            <w:vAlign w:val="center"/>
          </w:tcPr>
          <w:p>
            <w:pPr>
              <w:pStyle w:val="45"/>
              <w:kinsoku w:val="0"/>
              <w:overflowPunct w:val="0"/>
              <w:spacing w:before="15"/>
              <w:jc w:val="center"/>
              <w:rPr>
                <w:rFonts w:hint="eastAsia" w:asci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课程目标</w:t>
            </w:r>
            <w:r>
              <w:rPr>
                <w:rFonts w:ascii="Times New Roman" w:cs="Times New Roman"/>
                <w:color w:val="000000" w:themeColor="text1"/>
                <w:sz w:val="21"/>
                <w:szCs w:val="21"/>
                <w14:textFill>
                  <w14:solidFill>
                    <w14:schemeClr w14:val="tx1"/>
                  </w14:solidFill>
                </w14:textFill>
              </w:rPr>
              <w:t>1</w:t>
            </w:r>
          </w:p>
        </w:tc>
        <w:tc>
          <w:tcPr>
            <w:tcW w:w="145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25%</w:t>
            </w:r>
          </w:p>
        </w:tc>
        <w:tc>
          <w:tcPr>
            <w:tcW w:w="144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60%</w:t>
            </w:r>
          </w:p>
        </w:tc>
        <w:tc>
          <w:tcPr>
            <w:tcW w:w="1519"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40%</w:t>
            </w:r>
          </w:p>
        </w:tc>
        <w:tc>
          <w:tcPr>
            <w:tcW w:w="152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60%</w:t>
            </w:r>
          </w:p>
        </w:tc>
        <w:tc>
          <w:tcPr>
            <w:tcW w:w="2608" w:type="dxa"/>
            <w:vAlign w:val="center"/>
          </w:tcPr>
          <w:p>
            <w:pPr>
              <w:pStyle w:val="4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41%=40%*25%+</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%*60%+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%*60%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课程目标</w:t>
            </w:r>
            <w:r>
              <w:rPr>
                <w:rFonts w:ascii="Times New Roman" w:cs="Times New Roman"/>
                <w:color w:val="000000" w:themeColor="text1"/>
                <w:sz w:val="21"/>
                <w:szCs w:val="21"/>
                <w14:textFill>
                  <w14:solidFill>
                    <w14:schemeClr w14:val="tx1"/>
                  </w14:solidFill>
                </w14:textFill>
              </w:rPr>
              <w:t>2</w:t>
            </w:r>
          </w:p>
        </w:tc>
        <w:tc>
          <w:tcPr>
            <w:tcW w:w="145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45%</w:t>
            </w:r>
          </w:p>
        </w:tc>
        <w:tc>
          <w:tcPr>
            <w:tcW w:w="144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20%</w:t>
            </w:r>
          </w:p>
        </w:tc>
        <w:tc>
          <w:tcPr>
            <w:tcW w:w="1519"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40%</w:t>
            </w:r>
          </w:p>
        </w:tc>
        <w:tc>
          <w:tcPr>
            <w:tcW w:w="152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20%</w:t>
            </w:r>
          </w:p>
        </w:tc>
        <w:tc>
          <w:tcPr>
            <w:tcW w:w="2608" w:type="dxa"/>
            <w:vAlign w:val="center"/>
          </w:tcPr>
          <w:p>
            <w:pPr>
              <w:pStyle w:val="4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w:t>
            </w:r>
            <w:r>
              <w:rPr>
                <w:rFonts w:hint="eastAsia" w:ascii="Times New Roman" w:cs="Times New Roman"/>
                <w:color w:val="000000" w:themeColor="text1"/>
                <w:sz w:val="21"/>
                <w:szCs w:val="21"/>
                <w:lang w:val="en-US" w:eastAsia="zh-CN"/>
                <w14:textFill>
                  <w14:solidFill>
                    <w14:schemeClr w14:val="tx1"/>
                  </w14:solidFill>
                </w14:textFill>
              </w:rPr>
              <w:t>5</w:t>
            </w:r>
            <w:r>
              <w:rPr>
                <w:rFonts w:ascii="Times New Roman" w:cs="Times New Roman"/>
                <w:color w:val="000000" w:themeColor="text1"/>
                <w:sz w:val="21"/>
                <w:szCs w:val="21"/>
                <w14:textFill>
                  <w14:solidFill>
                    <w14:schemeClr w14:val="tx1"/>
                  </w14:solidFill>
                </w14:textFill>
              </w:rPr>
              <w:t>%=40%*45%+</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%*20%+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%*40%+</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%*20%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课程目标</w:t>
            </w:r>
            <w:r>
              <w:rPr>
                <w:rFonts w:ascii="Times New Roman" w:cs="Times New Roman"/>
                <w:color w:val="000000" w:themeColor="text1"/>
                <w:sz w:val="21"/>
                <w:szCs w:val="21"/>
                <w14:textFill>
                  <w14:solidFill>
                    <w14:schemeClr w14:val="tx1"/>
                  </w14:solidFill>
                </w14:textFill>
              </w:rPr>
              <w:t>3</w:t>
            </w:r>
          </w:p>
        </w:tc>
        <w:tc>
          <w:tcPr>
            <w:tcW w:w="145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20%</w:t>
            </w:r>
          </w:p>
        </w:tc>
        <w:tc>
          <w:tcPr>
            <w:tcW w:w="144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1519"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152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2608" w:type="dxa"/>
            <w:vAlign w:val="center"/>
          </w:tcPr>
          <w:p>
            <w:pPr>
              <w:pStyle w:val="4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14%=40%*20%+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%*10%+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%*10%+</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%*10%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hint="eastAsia" w:ascii="Times New Roman" w:cs="Times New Roman"/>
                <w:color w:val="000000" w:themeColor="text1"/>
                <w:sz w:val="21"/>
                <w:szCs w:val="21"/>
                <w14:textFill>
                  <w14:solidFill>
                    <w14:schemeClr w14:val="tx1"/>
                  </w14:solidFill>
                </w14:textFill>
              </w:rPr>
              <w:t>课程目标</w:t>
            </w:r>
            <w:r>
              <w:rPr>
                <w:rFonts w:ascii="Times New Roman" w:cs="Times New Roman"/>
                <w:color w:val="000000" w:themeColor="text1"/>
                <w:sz w:val="21"/>
                <w:szCs w:val="21"/>
                <w14:textFill>
                  <w14:solidFill>
                    <w14:schemeClr w14:val="tx1"/>
                  </w14:solidFill>
                </w14:textFill>
              </w:rPr>
              <w:t>4</w:t>
            </w:r>
          </w:p>
        </w:tc>
        <w:tc>
          <w:tcPr>
            <w:tcW w:w="145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1442"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1519"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1520" w:type="dxa"/>
            <w:vAlign w:val="center"/>
          </w:tcPr>
          <w:p>
            <w:pPr>
              <w:pStyle w:val="45"/>
              <w:kinsoku w:val="0"/>
              <w:overflowPunct w:val="0"/>
              <w:spacing w:before="15"/>
              <w:jc w:val="center"/>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w:t>
            </w:r>
          </w:p>
        </w:tc>
        <w:tc>
          <w:tcPr>
            <w:tcW w:w="2608" w:type="dxa"/>
            <w:vAlign w:val="center"/>
          </w:tcPr>
          <w:p>
            <w:pPr>
              <w:pStyle w:val="45"/>
              <w:kinsoku w:val="0"/>
              <w:overflowPunct w:val="0"/>
              <w:spacing w:before="15"/>
              <w:jc w:val="center"/>
              <w:rPr>
                <w:rFonts w:hint="default" w:ascii="Times New Roman" w:eastAsia="宋体" w:cs="Times New Roman"/>
                <w:color w:val="000000" w:themeColor="text1"/>
                <w:sz w:val="21"/>
                <w:szCs w:val="21"/>
                <w:lang w:val="en-US" w:eastAsia="zh-CN"/>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10%=40%*10%+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%*10%+</w:t>
            </w:r>
            <w:r>
              <w:rPr>
                <w:rFonts w:hint="eastAsia" w:ascii="Times New Roman" w:cs="Times New Roman"/>
                <w:color w:val="000000" w:themeColor="text1"/>
                <w:sz w:val="21"/>
                <w:szCs w:val="21"/>
                <w:lang w:val="en-US" w:eastAsia="zh-CN"/>
                <w14:textFill>
                  <w14:solidFill>
                    <w14:schemeClr w14:val="tx1"/>
                  </w14:solidFill>
                </w14:textFill>
              </w:rPr>
              <w:t>40</w:t>
            </w:r>
            <w:r>
              <w:rPr>
                <w:rFonts w:ascii="Times New Roman" w:cs="Times New Roman"/>
                <w:color w:val="000000" w:themeColor="text1"/>
                <w:sz w:val="21"/>
                <w:szCs w:val="21"/>
                <w14:textFill>
                  <w14:solidFill>
                    <w14:schemeClr w14:val="tx1"/>
                  </w14:solidFill>
                </w14:textFill>
              </w:rPr>
              <w:t>%*10%+</w:t>
            </w:r>
            <w:r>
              <w:rPr>
                <w:rFonts w:hint="eastAsia" w:ascii="Times New Roman" w:cs="Times New Roman"/>
                <w:color w:val="000000" w:themeColor="text1"/>
                <w:sz w:val="21"/>
                <w:szCs w:val="21"/>
                <w:lang w:val="en-US" w:eastAsia="zh-CN"/>
                <w14:textFill>
                  <w14:solidFill>
                    <w14:schemeClr w14:val="tx1"/>
                  </w14:solidFill>
                </w14:textFill>
              </w:rPr>
              <w:t>30</w:t>
            </w:r>
            <w:r>
              <w:rPr>
                <w:rFonts w:ascii="Times New Roman" w:cs="Times New Roman"/>
                <w:color w:val="000000" w:themeColor="text1"/>
                <w:sz w:val="21"/>
                <w:szCs w:val="21"/>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1</w:t>
            </w:r>
            <w:r>
              <w:rPr>
                <w:rFonts w:ascii="Times New Roman" w:cs="Times New Roman"/>
                <w:color w:val="000000" w:themeColor="text1"/>
                <w:sz w:val="21"/>
                <w:szCs w:val="21"/>
                <w14:textFill>
                  <w14:solidFill>
                    <w14:schemeClr w14:val="tx1"/>
                  </w14:solidFill>
                </w14:textFill>
              </w:rPr>
              <w:t>0%</w:t>
            </w:r>
            <w:r>
              <w:rPr>
                <w:rFonts w:hint="eastAsia" w:ascii="Times New Roman" w:cs="Times New Roman"/>
                <w:color w:val="000000" w:themeColor="text1"/>
                <w:sz w:val="21"/>
                <w:szCs w:val="21"/>
                <w:lang w:eastAsia="zh-CN"/>
                <w14:textFill>
                  <w14:solidFill>
                    <w14:schemeClr w14:val="tx1"/>
                  </w14:solidFill>
                </w14:textFill>
              </w:rPr>
              <w:t>）</w:t>
            </w:r>
            <w:r>
              <w:rPr>
                <w:rFonts w:hint="eastAsia" w:ascii="Times New Roman" w:cs="Times New Roman"/>
                <w:color w:val="000000" w:themeColor="text1"/>
                <w:sz w:val="21"/>
                <w:szCs w:val="21"/>
                <w:lang w:val="en-US" w:eastAsia="zh-CN"/>
                <w14:textFill>
                  <w14:solidFill>
                    <w14:schemeClr w14:val="tx1"/>
                  </w14:solidFill>
                </w14:textFill>
              </w:rPr>
              <w:t>*60%</w:t>
            </w:r>
          </w:p>
        </w:tc>
      </w:tr>
    </w:tbl>
    <w:p>
      <w:pPr>
        <w:pStyle w:val="6"/>
        <w:kinsoku w:val="0"/>
        <w:overflowPunct w:val="0"/>
        <w:spacing w:before="66"/>
        <w:jc w:val="both"/>
        <w:rPr>
          <w:rFonts w:ascii="Times New Roman" w:cs="Times New Roman"/>
          <w:b/>
          <w:sz w:val="21"/>
          <w:szCs w:val="21"/>
        </w:rPr>
      </w:pPr>
    </w:p>
    <w:p>
      <w:pPr>
        <w:pStyle w:val="6"/>
        <w:kinsoku w:val="0"/>
        <w:overflowPunct w:val="0"/>
        <w:spacing w:before="66"/>
        <w:jc w:val="center"/>
        <w:rPr>
          <w:rFonts w:ascii="Times New Roman" w:cs="Times New Roman"/>
          <w:b/>
          <w:sz w:val="21"/>
          <w:szCs w:val="21"/>
        </w:rPr>
      </w:pPr>
    </w:p>
    <w:p>
      <w:pPr>
        <w:pStyle w:val="3"/>
        <w:kinsoku w:val="0"/>
        <w:overflowPunct w:val="0"/>
        <w:ind w:left="0" w:firstLine="482" w:firstLineChars="200"/>
        <w:rPr>
          <w:rFonts w:ascii="Times New Roman" w:eastAsia="黑体" w:cs="Times New Roman"/>
          <w:sz w:val="24"/>
          <w:szCs w:val="24"/>
        </w:rPr>
      </w:pPr>
      <w:r>
        <w:rPr>
          <w:rFonts w:hint="eastAsia" w:ascii="Times New Roman" w:eastAsia="黑体" w:cs="Times New Roman"/>
          <w:sz w:val="24"/>
          <w:szCs w:val="24"/>
        </w:rPr>
        <w:t>（二）成绩评定</w:t>
      </w:r>
    </w:p>
    <w:p>
      <w:pPr>
        <w:snapToGrid w:val="0"/>
        <w:spacing w:line="400" w:lineRule="exact"/>
        <w:ind w:firstLine="482" w:firstLineChars="200"/>
        <w:rPr>
          <w:rFonts w:ascii="Times New Roman" w:cs="Times New Roman"/>
          <w:color w:val="FF0000"/>
          <w:sz w:val="24"/>
          <w:szCs w:val="24"/>
        </w:rPr>
      </w:pPr>
      <w:r>
        <w:rPr>
          <w:rFonts w:ascii="Times New Roman" w:cs="Times New Roman"/>
          <w:b/>
          <w:sz w:val="24"/>
          <w:szCs w:val="24"/>
        </w:rPr>
        <w:t>1.</w:t>
      </w:r>
      <w:r>
        <w:rPr>
          <w:rFonts w:hint="eastAsia" w:ascii="Times New Roman" w:cs="Times New Roman"/>
          <w:b/>
          <w:sz w:val="24"/>
          <w:szCs w:val="24"/>
        </w:rPr>
        <w:t>平时成绩评定</w:t>
      </w:r>
    </w:p>
    <w:p>
      <w:pPr>
        <w:snapToGrid w:val="0"/>
        <w:spacing w:line="400" w:lineRule="exact"/>
        <w:ind w:firstLine="480" w:firstLineChars="200"/>
        <w:rPr>
          <w:rFonts w:ascii="Times New Roman" w:cs="Times New Roman"/>
          <w:sz w:val="24"/>
          <w:szCs w:val="24"/>
        </w:rPr>
      </w:pPr>
      <w:r>
        <w:rPr>
          <w:rFonts w:hint="eastAsia" w:ascii="Times New Roman" w:cs="Times New Roman"/>
          <w:sz w:val="24"/>
          <w:szCs w:val="24"/>
        </w:rPr>
        <w:t>平时成绩=讨论（30%）+作业（</w:t>
      </w:r>
      <w:r>
        <w:rPr>
          <w:rFonts w:ascii="Times New Roman" w:cs="Times New Roman"/>
          <w:sz w:val="24"/>
          <w:szCs w:val="24"/>
        </w:rPr>
        <w:t>4</w:t>
      </w:r>
      <w:r>
        <w:rPr>
          <w:rFonts w:hint="eastAsia" w:ascii="Times New Roman" w:cs="Times New Roman"/>
          <w:sz w:val="24"/>
          <w:szCs w:val="24"/>
        </w:rPr>
        <w:t>0%）+课堂参与（3</w:t>
      </w:r>
      <w:r>
        <w:rPr>
          <w:rFonts w:ascii="Times New Roman" w:cs="Times New Roman"/>
          <w:sz w:val="24"/>
          <w:szCs w:val="24"/>
        </w:rPr>
        <w:t>0%</w:t>
      </w:r>
      <w:r>
        <w:rPr>
          <w:rFonts w:hint="eastAsia" w:ascii="Times New Roman" w:cs="Times New Roman"/>
          <w:sz w:val="24"/>
          <w:szCs w:val="24"/>
        </w:rPr>
        <w:t>）</w:t>
      </w:r>
    </w:p>
    <w:p>
      <w:pPr>
        <w:spacing w:line="400" w:lineRule="atLeast"/>
        <w:ind w:firstLine="482" w:firstLineChars="200"/>
        <w:rPr>
          <w:rFonts w:ascii="Times New Roman" w:cs="Times New Roman"/>
          <w:sz w:val="24"/>
          <w:szCs w:val="24"/>
        </w:rPr>
      </w:pPr>
      <w:r>
        <w:rPr>
          <w:rFonts w:hint="eastAsia" w:ascii="Times New Roman" w:cs="Times New Roman"/>
          <w:b/>
          <w:sz w:val="24"/>
          <w:szCs w:val="24"/>
        </w:rPr>
        <w:t>（</w:t>
      </w:r>
      <w:r>
        <w:rPr>
          <w:rFonts w:ascii="Times New Roman" w:cs="Times New Roman"/>
          <w:b/>
          <w:sz w:val="24"/>
          <w:szCs w:val="24"/>
        </w:rPr>
        <w:t>1</w:t>
      </w:r>
      <w:r>
        <w:rPr>
          <w:rFonts w:hint="eastAsia" w:ascii="Times New Roman" w:cs="Times New Roman"/>
          <w:b/>
          <w:sz w:val="24"/>
          <w:szCs w:val="24"/>
        </w:rPr>
        <w:t>）讨论（</w:t>
      </w:r>
      <w:r>
        <w:rPr>
          <w:rFonts w:ascii="Times New Roman" w:cs="Times New Roman"/>
          <w:b/>
          <w:sz w:val="24"/>
          <w:szCs w:val="24"/>
        </w:rPr>
        <w:t>30%</w:t>
      </w:r>
      <w:r>
        <w:rPr>
          <w:rFonts w:hint="eastAsia" w:ascii="Times New Roman" w:cs="Times New Roman"/>
          <w:b/>
          <w:sz w:val="24"/>
          <w:szCs w:val="24"/>
        </w:rPr>
        <w:t>）</w:t>
      </w:r>
      <w:r>
        <w:rPr>
          <w:rFonts w:hint="eastAsia" w:ascii="Times New Roman" w:cs="Times New Roman"/>
          <w:sz w:val="24"/>
          <w:szCs w:val="24"/>
        </w:rPr>
        <w:t>：通过云班课、学习通等平台或当堂发布讨论主题等环节，并在其中实施课程思政的考核，设置相应的分值，教师根据学生参与讨论的情况进行评分</w:t>
      </w:r>
      <w:r>
        <w:rPr>
          <w:rFonts w:hint="eastAsia" w:hAnsi="宋体"/>
          <w:color w:val="000000"/>
          <w:sz w:val="24"/>
          <w:szCs w:val="24"/>
        </w:rPr>
        <w:t>。</w:t>
      </w:r>
    </w:p>
    <w:p>
      <w:pPr>
        <w:snapToGrid w:val="0"/>
        <w:spacing w:line="400" w:lineRule="exact"/>
        <w:ind w:firstLine="482" w:firstLineChars="200"/>
        <w:rPr>
          <w:rFonts w:ascii="Times New Roman" w:cs="Times New Roman"/>
          <w:color w:val="FF0000"/>
          <w:sz w:val="24"/>
          <w:szCs w:val="24"/>
        </w:rPr>
      </w:pPr>
      <w:r>
        <w:rPr>
          <w:rFonts w:hint="eastAsia" w:ascii="Times New Roman" w:cs="Times New Roman"/>
          <w:b/>
          <w:sz w:val="24"/>
          <w:szCs w:val="24"/>
        </w:rPr>
        <w:t>（</w:t>
      </w:r>
      <w:r>
        <w:rPr>
          <w:rFonts w:ascii="Times New Roman" w:cs="Times New Roman"/>
          <w:b/>
          <w:sz w:val="24"/>
          <w:szCs w:val="24"/>
        </w:rPr>
        <w:t>2</w:t>
      </w:r>
      <w:r>
        <w:rPr>
          <w:rFonts w:hint="eastAsia" w:ascii="Times New Roman" w:cs="Times New Roman"/>
          <w:b/>
          <w:sz w:val="24"/>
          <w:szCs w:val="24"/>
        </w:rPr>
        <w:t>）作业完成情况（</w:t>
      </w:r>
      <w:r>
        <w:rPr>
          <w:rFonts w:ascii="Times New Roman" w:cs="Times New Roman"/>
          <w:b/>
          <w:sz w:val="24"/>
          <w:szCs w:val="24"/>
        </w:rPr>
        <w:t>40%</w:t>
      </w:r>
      <w:r>
        <w:rPr>
          <w:rFonts w:hint="eastAsia" w:ascii="Times New Roman" w:cs="Times New Roman"/>
          <w:b/>
          <w:sz w:val="24"/>
          <w:szCs w:val="24"/>
        </w:rPr>
        <w:t>）</w:t>
      </w:r>
      <w:r>
        <w:rPr>
          <w:rFonts w:hint="eastAsia" w:ascii="Times New Roman" w:cs="Times New Roman"/>
          <w:sz w:val="24"/>
          <w:szCs w:val="24"/>
        </w:rPr>
        <w:t>：围绕课程的学习目标进行完成课后作业。如让学生简述对知识的认识，考核学生对于概念的理解情况，帮助学生将定义转化为自己的理解。</w:t>
      </w:r>
      <w:r>
        <w:rPr>
          <w:rFonts w:hint="eastAsia" w:ascii="Times" w:hAnsi="Times" w:cs="Times"/>
          <w:color w:val="000000"/>
          <w:szCs w:val="21"/>
        </w:rPr>
        <w:t>主要了解学生对知识的认识、理解情况及自主学习能力，主要考核学生综合运用知识的能力和创新能力</w:t>
      </w:r>
      <w:r>
        <w:rPr>
          <w:rFonts w:hint="eastAsia" w:hAnsi="宋体"/>
          <w:color w:val="000000"/>
          <w:sz w:val="24"/>
          <w:szCs w:val="24"/>
        </w:rPr>
        <w:t>。</w:t>
      </w:r>
      <w:bookmarkStart w:id="10" w:name="_GoBack"/>
      <w:bookmarkEnd w:id="10"/>
    </w:p>
    <w:p>
      <w:pPr>
        <w:snapToGrid w:val="0"/>
        <w:spacing w:line="400" w:lineRule="exact"/>
        <w:ind w:firstLine="482" w:firstLineChars="200"/>
        <w:rPr>
          <w:rFonts w:ascii="Times New Roman" w:cs="Times New Roman"/>
          <w:color w:val="FF0000"/>
          <w:sz w:val="24"/>
          <w:szCs w:val="24"/>
        </w:rPr>
      </w:pPr>
      <w:r>
        <w:rPr>
          <w:rFonts w:hint="eastAsia" w:ascii="Times New Roman" w:cs="Times New Roman"/>
          <w:b/>
          <w:sz w:val="24"/>
          <w:szCs w:val="24"/>
        </w:rPr>
        <w:t>（</w:t>
      </w:r>
      <w:r>
        <w:rPr>
          <w:rFonts w:ascii="Times New Roman" w:cs="Times New Roman"/>
          <w:b/>
          <w:sz w:val="24"/>
          <w:szCs w:val="24"/>
        </w:rPr>
        <w:t>3</w:t>
      </w:r>
      <w:r>
        <w:rPr>
          <w:rFonts w:hint="eastAsia" w:ascii="Times New Roman" w:cs="Times New Roman"/>
          <w:b/>
          <w:sz w:val="24"/>
          <w:szCs w:val="24"/>
        </w:rPr>
        <w:t>）课堂参与（</w:t>
      </w:r>
      <w:r>
        <w:rPr>
          <w:rFonts w:ascii="Times New Roman" w:cs="Times New Roman"/>
          <w:b/>
          <w:sz w:val="24"/>
          <w:szCs w:val="24"/>
        </w:rPr>
        <w:t>30%</w:t>
      </w:r>
      <w:r>
        <w:rPr>
          <w:rFonts w:hint="eastAsia" w:ascii="Times New Roman" w:cs="Times New Roman"/>
          <w:b/>
          <w:sz w:val="24"/>
          <w:szCs w:val="24"/>
        </w:rPr>
        <w:t>）</w:t>
      </w:r>
      <w:r>
        <w:rPr>
          <w:rFonts w:hint="eastAsia" w:ascii="Times New Roman" w:cs="Times New Roman"/>
          <w:sz w:val="24"/>
          <w:szCs w:val="24"/>
        </w:rPr>
        <w:t>：通过学生在课堂上的表现来评价学生对知识的掌握情况及相关</w:t>
      </w:r>
      <w:r>
        <w:rPr>
          <w:rFonts w:hint="eastAsia" w:ascii="Times" w:hAnsi="Times" w:cs="Times"/>
          <w:color w:val="000000"/>
          <w:szCs w:val="21"/>
        </w:rPr>
        <w:t>能力水平。包括课堂发言、提问、回答问题、测验、练习等</w:t>
      </w:r>
      <w:bookmarkStart w:id="9" w:name="_Hlk145789867"/>
      <w:r>
        <w:rPr>
          <w:rFonts w:hint="eastAsia" w:hAnsi="宋体"/>
          <w:color w:val="000000"/>
          <w:sz w:val="24"/>
          <w:szCs w:val="24"/>
        </w:rPr>
        <w:t>。</w:t>
      </w:r>
      <w:bookmarkEnd w:id="9"/>
    </w:p>
    <w:p>
      <w:pPr>
        <w:snapToGrid w:val="0"/>
        <w:spacing w:line="400" w:lineRule="exact"/>
        <w:ind w:firstLine="482" w:firstLineChars="200"/>
        <w:rPr>
          <w:rFonts w:ascii="Times New Roman" w:cs="Times New Roman"/>
          <w:b/>
          <w:sz w:val="24"/>
          <w:szCs w:val="24"/>
        </w:rPr>
      </w:pPr>
      <w:r>
        <w:rPr>
          <w:rFonts w:ascii="Times New Roman" w:cs="Times New Roman"/>
          <w:b/>
          <w:sz w:val="24"/>
          <w:szCs w:val="24"/>
        </w:rPr>
        <w:t>2.</w:t>
      </w:r>
      <w:r>
        <w:rPr>
          <w:rFonts w:hint="eastAsia" w:ascii="Times New Roman" w:cs="Times New Roman"/>
          <w:b/>
          <w:sz w:val="24"/>
          <w:szCs w:val="24"/>
        </w:rPr>
        <w:t>期末成绩评定</w:t>
      </w:r>
    </w:p>
    <w:p>
      <w:pPr>
        <w:snapToGrid w:val="0"/>
        <w:spacing w:line="400" w:lineRule="exact"/>
        <w:ind w:firstLine="480" w:firstLineChars="200"/>
        <w:rPr>
          <w:rFonts w:hAnsi="宋体"/>
          <w:color w:val="000000"/>
          <w:sz w:val="24"/>
          <w:szCs w:val="24"/>
        </w:rPr>
      </w:pPr>
      <w:r>
        <w:rPr>
          <w:rFonts w:hint="eastAsia" w:ascii="Times" w:hAnsi="Times"/>
          <w:color w:val="000000"/>
          <w:sz w:val="24"/>
          <w:szCs w:val="24"/>
        </w:rPr>
        <w:t>期终考核的范围：</w:t>
      </w:r>
      <w:r>
        <w:rPr>
          <w:rFonts w:hint="eastAsia" w:ascii="Times" w:hAnsi="Times" w:cs="Times"/>
          <w:color w:val="000000"/>
          <w:szCs w:val="21"/>
        </w:rPr>
        <w:t>期末考核主要考察学生对基本理论、基础知识和具体方法的理解与运用情况。要求学生</w:t>
      </w:r>
      <w:r>
        <w:rPr>
          <w:rFonts w:hint="eastAsia"/>
          <w:szCs w:val="21"/>
        </w:rPr>
        <w:t>了解</w:t>
      </w:r>
      <w:r>
        <w:rPr>
          <w:rFonts w:hint="eastAsia"/>
          <w:color w:val="000000"/>
          <w:sz w:val="24"/>
          <w:szCs w:val="24"/>
        </w:rPr>
        <w:t>土壤污染的定义、特点及来源</w:t>
      </w:r>
      <w:r>
        <w:rPr>
          <w:rFonts w:hint="eastAsia" w:ascii="Times" w:hAnsi="Times"/>
          <w:color w:val="000000"/>
          <w:sz w:val="24"/>
          <w:szCs w:val="24"/>
        </w:rPr>
        <w:t>、</w:t>
      </w:r>
      <w:r>
        <w:rPr>
          <w:rFonts w:hint="eastAsia"/>
          <w:color w:val="000000"/>
          <w:sz w:val="24"/>
          <w:szCs w:val="24"/>
        </w:rPr>
        <w:t>土壤学基础知识</w:t>
      </w:r>
      <w:r>
        <w:rPr>
          <w:rFonts w:hint="eastAsia" w:ascii="Times" w:hAnsi="Times"/>
          <w:color w:val="000000"/>
          <w:sz w:val="24"/>
          <w:szCs w:val="24"/>
        </w:rPr>
        <w:t>、</w:t>
      </w:r>
      <w:r>
        <w:rPr>
          <w:rFonts w:hint="eastAsia" w:ascii="Times New Roman" w:cs="Times New Roman"/>
          <w:sz w:val="24"/>
          <w:szCs w:val="24"/>
        </w:rPr>
        <w:t>常见土壤污染类型及评判标准</w:t>
      </w:r>
      <w:r>
        <w:rPr>
          <w:rFonts w:hint="eastAsia"/>
          <w:color w:val="000000"/>
          <w:sz w:val="24"/>
          <w:szCs w:val="24"/>
        </w:rPr>
        <w:t>相关知识</w:t>
      </w:r>
      <w:r>
        <w:rPr>
          <w:rFonts w:hint="eastAsia" w:ascii="Times" w:hAnsi="Times"/>
          <w:color w:val="000000"/>
          <w:sz w:val="24"/>
          <w:szCs w:val="24"/>
        </w:rPr>
        <w:t>、</w:t>
      </w:r>
      <w:r>
        <w:rPr>
          <w:rFonts w:hint="eastAsia"/>
          <w:color w:val="000000"/>
          <w:sz w:val="24"/>
          <w:szCs w:val="24"/>
        </w:rPr>
        <w:t>农用地、建筑用地土壤环境污染、风险管控及修复相关知识</w:t>
      </w:r>
      <w:r>
        <w:rPr>
          <w:rFonts w:hint="eastAsia" w:ascii="Times" w:hAnsi="Times"/>
          <w:color w:val="000000"/>
          <w:sz w:val="24"/>
          <w:szCs w:val="24"/>
        </w:rPr>
        <w:t>、</w:t>
      </w:r>
      <w:r>
        <w:rPr>
          <w:rFonts w:hint="eastAsia"/>
          <w:color w:val="000000"/>
          <w:sz w:val="24"/>
          <w:szCs w:val="24"/>
        </w:rPr>
        <w:t>地下水污染种类，性状及修复技术</w:t>
      </w:r>
      <w:r>
        <w:rPr>
          <w:rFonts w:hint="eastAsia" w:ascii="Times" w:hAnsi="Times"/>
          <w:color w:val="000000"/>
          <w:sz w:val="24"/>
          <w:szCs w:val="24"/>
        </w:rPr>
        <w:t>、</w:t>
      </w:r>
      <w:r>
        <w:rPr>
          <w:rFonts w:hint="eastAsia"/>
          <w:color w:val="000000"/>
          <w:sz w:val="24"/>
          <w:szCs w:val="24"/>
        </w:rPr>
        <w:t>土壤污染修复技术及筛选相关知识</w:t>
      </w:r>
      <w:r>
        <w:rPr>
          <w:rFonts w:hint="eastAsia" w:hAnsi="宋体"/>
          <w:color w:val="000000"/>
          <w:sz w:val="24"/>
          <w:szCs w:val="24"/>
        </w:rPr>
        <w:t>。</w:t>
      </w:r>
    </w:p>
    <w:p>
      <w:pPr>
        <w:snapToGrid w:val="0"/>
        <w:spacing w:line="400" w:lineRule="exact"/>
        <w:ind w:firstLine="480" w:firstLineChars="200"/>
        <w:rPr>
          <w:rFonts w:ascii="Times" w:hAnsi="Times"/>
          <w:color w:val="000000"/>
          <w:sz w:val="24"/>
          <w:szCs w:val="24"/>
        </w:rPr>
      </w:pPr>
      <w:r>
        <w:rPr>
          <w:rFonts w:hint="eastAsia" w:ascii="Times" w:hAnsi="Times"/>
          <w:color w:val="000000"/>
          <w:sz w:val="24"/>
          <w:szCs w:val="24"/>
        </w:rPr>
        <w:t>期终考核的方式：闭卷考试</w:t>
      </w:r>
    </w:p>
    <w:p>
      <w:pPr>
        <w:snapToGrid w:val="0"/>
        <w:spacing w:line="400" w:lineRule="exact"/>
        <w:ind w:firstLine="480" w:firstLineChars="200"/>
        <w:rPr>
          <w:color w:val="000000"/>
          <w:sz w:val="24"/>
          <w:szCs w:val="24"/>
        </w:rPr>
      </w:pPr>
      <w:r>
        <w:rPr>
          <w:rFonts w:hint="eastAsia" w:ascii="Times" w:hAnsi="Times"/>
          <w:color w:val="000000"/>
          <w:sz w:val="24"/>
          <w:szCs w:val="24"/>
        </w:rPr>
        <w:t>期终考核的内容：</w:t>
      </w:r>
      <w:r>
        <w:rPr>
          <w:rFonts w:hint="eastAsia"/>
          <w:color w:val="000000"/>
          <w:sz w:val="24"/>
          <w:szCs w:val="24"/>
        </w:rPr>
        <w:t>土壤污染的基本概念、基本理论；常见污染类型及评判标准；农用地污染土壤的基本理论；建筑用地土壤风险管控；农用地与建筑用地污染土壤性状及修复技术；地下水污染修复特点及修复技术；土壤污染常用配套修复技术及筛选相关知识。</w:t>
      </w:r>
    </w:p>
    <w:p>
      <w:pPr>
        <w:snapToGrid w:val="0"/>
        <w:spacing w:line="400" w:lineRule="exact"/>
        <w:ind w:firstLine="480" w:firstLineChars="200"/>
        <w:rPr>
          <w:rFonts w:ascii="Times New Roman" w:cs="Times New Roman"/>
          <w:color w:val="FF0000"/>
          <w:sz w:val="24"/>
          <w:szCs w:val="24"/>
        </w:rPr>
      </w:pPr>
    </w:p>
    <w:p>
      <w:pPr>
        <w:snapToGrid w:val="0"/>
        <w:spacing w:line="400" w:lineRule="exact"/>
        <w:ind w:firstLine="482" w:firstLineChars="200"/>
        <w:rPr>
          <w:rFonts w:ascii="Times New Roman" w:cs="Times New Roman"/>
          <w:b/>
          <w:sz w:val="24"/>
          <w:szCs w:val="24"/>
        </w:rPr>
      </w:pPr>
      <w:r>
        <w:rPr>
          <w:rFonts w:ascii="Times New Roman" w:cs="Times New Roman"/>
          <w:b/>
          <w:sz w:val="24"/>
          <w:szCs w:val="24"/>
        </w:rPr>
        <w:t>3.</w:t>
      </w:r>
      <w:r>
        <w:rPr>
          <w:rFonts w:hint="eastAsia" w:ascii="Times New Roman" w:cs="Times New Roman"/>
          <w:b/>
          <w:sz w:val="24"/>
          <w:szCs w:val="24"/>
        </w:rPr>
        <w:t>总成绩评定</w:t>
      </w:r>
    </w:p>
    <w:p>
      <w:pPr>
        <w:spacing w:line="360" w:lineRule="auto"/>
        <w:ind w:firstLine="480" w:firstLineChars="200"/>
        <w:rPr>
          <w:rFonts w:ascii="Times" w:hAnsi="Times"/>
          <w:color w:val="000000"/>
          <w:sz w:val="24"/>
          <w:szCs w:val="24"/>
        </w:rPr>
      </w:pPr>
      <w:r>
        <w:rPr>
          <w:rFonts w:hint="eastAsia" w:hAnsi="宋体"/>
          <w:color w:val="000000"/>
          <w:sz w:val="24"/>
          <w:szCs w:val="24"/>
        </w:rPr>
        <w:t>课程考核总评成绩</w:t>
      </w:r>
      <w:r>
        <w:rPr>
          <w:rFonts w:hint="eastAsia" w:ascii="Times" w:hAnsi="Times"/>
          <w:color w:val="000000"/>
          <w:sz w:val="24"/>
          <w:szCs w:val="24"/>
        </w:rPr>
        <w:t>（</w:t>
      </w:r>
      <w:r>
        <w:rPr>
          <w:rFonts w:ascii="Times" w:hAnsi="Times"/>
          <w:color w:val="000000"/>
          <w:sz w:val="24"/>
          <w:szCs w:val="24"/>
        </w:rPr>
        <w:t>100%</w:t>
      </w:r>
      <w:r>
        <w:rPr>
          <w:rFonts w:hint="eastAsia" w:ascii="Times" w:hAnsi="Times"/>
          <w:color w:val="000000"/>
          <w:sz w:val="24"/>
          <w:szCs w:val="24"/>
        </w:rPr>
        <w:t>）</w:t>
      </w:r>
      <w:r>
        <w:rPr>
          <w:rFonts w:ascii="Times" w:hAnsi="Times"/>
          <w:color w:val="000000"/>
          <w:sz w:val="24"/>
          <w:szCs w:val="24"/>
        </w:rPr>
        <w:t>=</w:t>
      </w:r>
      <w:r>
        <w:rPr>
          <w:rFonts w:hint="eastAsia" w:ascii="Times" w:hAnsi="Times"/>
          <w:color w:val="000000"/>
          <w:sz w:val="24"/>
          <w:szCs w:val="24"/>
        </w:rPr>
        <w:t>平时成绩（</w:t>
      </w:r>
      <w:r>
        <w:rPr>
          <w:rFonts w:hAnsi="宋体"/>
          <w:color w:val="000000"/>
          <w:sz w:val="24"/>
          <w:szCs w:val="24"/>
        </w:rPr>
        <w:t>60%</w:t>
      </w:r>
      <w:r>
        <w:rPr>
          <w:rFonts w:hint="eastAsia" w:ascii="Times" w:hAnsi="Times"/>
          <w:color w:val="000000"/>
          <w:sz w:val="24"/>
          <w:szCs w:val="24"/>
        </w:rPr>
        <w:t>）</w:t>
      </w:r>
      <w:r>
        <w:rPr>
          <w:rFonts w:ascii="Times" w:hAnsi="Times"/>
          <w:color w:val="000000"/>
          <w:sz w:val="24"/>
          <w:szCs w:val="24"/>
        </w:rPr>
        <w:t>+</w:t>
      </w:r>
      <w:r>
        <w:rPr>
          <w:rFonts w:hint="eastAsia" w:ascii="Times" w:hAnsi="Times"/>
          <w:color w:val="000000"/>
          <w:sz w:val="24"/>
          <w:szCs w:val="24"/>
        </w:rPr>
        <w:t>期末成绩（</w:t>
      </w:r>
      <w:r>
        <w:rPr>
          <w:rFonts w:hAnsi="宋体"/>
          <w:color w:val="000000"/>
          <w:sz w:val="24"/>
          <w:szCs w:val="24"/>
        </w:rPr>
        <w:t>40%</w:t>
      </w:r>
      <w:r>
        <w:rPr>
          <w:rFonts w:hint="eastAsia" w:ascii="Times" w:hAnsi="Times"/>
          <w:color w:val="000000"/>
          <w:sz w:val="24"/>
          <w:szCs w:val="24"/>
        </w:rPr>
        <w:t>）。</w:t>
      </w:r>
    </w:p>
    <w:p>
      <w:pPr>
        <w:spacing w:line="360" w:lineRule="auto"/>
        <w:ind w:firstLine="480" w:firstLineChars="200"/>
        <w:rPr>
          <w:rFonts w:hint="eastAsia" w:hAnsi="宋体"/>
          <w:color w:val="000000"/>
          <w:sz w:val="24"/>
          <w:szCs w:val="24"/>
        </w:rPr>
      </w:pPr>
      <w:r>
        <w:rPr>
          <w:rFonts w:hint="eastAsia" w:hAnsi="宋体"/>
          <w:color w:val="000000"/>
          <w:sz w:val="24"/>
          <w:szCs w:val="24"/>
        </w:rPr>
        <w:t>其中，平时成绩</w:t>
      </w:r>
      <w:r>
        <w:rPr>
          <w:rFonts w:hAnsi="宋体"/>
          <w:color w:val="000000"/>
          <w:sz w:val="24"/>
          <w:szCs w:val="24"/>
        </w:rPr>
        <w:t>=</w:t>
      </w:r>
      <w:r>
        <w:rPr>
          <w:rFonts w:hint="eastAsia" w:ascii="Times New Roman" w:cs="Times New Roman"/>
          <w:sz w:val="24"/>
          <w:szCs w:val="24"/>
        </w:rPr>
        <w:t>讨论（30%）+作业（</w:t>
      </w:r>
      <w:r>
        <w:rPr>
          <w:rFonts w:ascii="Times New Roman" w:cs="Times New Roman"/>
          <w:sz w:val="24"/>
          <w:szCs w:val="24"/>
        </w:rPr>
        <w:t>4</w:t>
      </w:r>
      <w:r>
        <w:rPr>
          <w:rFonts w:hint="eastAsia" w:ascii="Times New Roman" w:cs="Times New Roman"/>
          <w:sz w:val="24"/>
          <w:szCs w:val="24"/>
        </w:rPr>
        <w:t>0%）+课堂参与（3</w:t>
      </w:r>
      <w:r>
        <w:rPr>
          <w:rFonts w:ascii="Times New Roman" w:cs="Times New Roman"/>
          <w:sz w:val="24"/>
          <w:szCs w:val="24"/>
        </w:rPr>
        <w:t>0%</w:t>
      </w:r>
      <w:r>
        <w:rPr>
          <w:rFonts w:hint="eastAsia" w:ascii="Times New Roman" w:cs="Times New Roman"/>
          <w:sz w:val="24"/>
          <w:szCs w:val="24"/>
        </w:rPr>
        <w:t>）</w:t>
      </w:r>
      <w:r>
        <w:rPr>
          <w:rFonts w:hint="eastAsia" w:hAnsi="宋体"/>
          <w:color w:val="000000"/>
          <w:sz w:val="24"/>
          <w:szCs w:val="24"/>
        </w:rPr>
        <w:t>。</w:t>
      </w:r>
    </w:p>
    <w:p>
      <w:pPr>
        <w:kinsoku w:val="0"/>
        <w:overflowPunct w:val="0"/>
        <w:autoSpaceDE w:val="0"/>
        <w:autoSpaceDN w:val="0"/>
        <w:adjustRightInd w:val="0"/>
        <w:spacing w:before="86" w:line="400" w:lineRule="exact"/>
        <w:ind w:firstLine="482" w:firstLineChars="200"/>
        <w:rPr>
          <w:rFonts w:ascii="黑体" w:hAnsi="黑体" w:eastAsia="黑体" w:cs="黑体"/>
          <w:b/>
          <w:sz w:val="24"/>
          <w:szCs w:val="24"/>
        </w:rPr>
      </w:pPr>
      <w:r>
        <w:rPr>
          <w:rFonts w:hint="eastAsia" w:ascii="黑体" w:hAnsi="黑体" w:eastAsia="黑体" w:cs="黑体"/>
          <w:b/>
          <w:sz w:val="24"/>
          <w:szCs w:val="24"/>
        </w:rPr>
        <w:t>（三）评分标准</w:t>
      </w:r>
    </w:p>
    <w:p>
      <w:pPr>
        <w:kinsoku w:val="0"/>
        <w:overflowPunct w:val="0"/>
        <w:autoSpaceDE w:val="0"/>
        <w:autoSpaceDN w:val="0"/>
        <w:adjustRightInd w:val="0"/>
        <w:snapToGrid w:val="0"/>
        <w:spacing w:line="400" w:lineRule="exact"/>
        <w:ind w:firstLine="482" w:firstLineChars="200"/>
        <w:rPr>
          <w:rFonts w:ascii="Times" w:hAnsi="Times" w:cs="Times"/>
          <w:color w:val="000000"/>
          <w:sz w:val="22"/>
          <w:szCs w:val="21"/>
        </w:rPr>
      </w:pPr>
      <w:r>
        <w:rPr>
          <w:rFonts w:hint="eastAsia" w:ascii="宋体" w:hAnsi="宋体" w:eastAsia="宋体" w:cs="黑体"/>
          <w:b/>
          <w:sz w:val="24"/>
          <w:szCs w:val="24"/>
        </w:rPr>
        <w:t>（1）</w:t>
      </w:r>
      <w:r>
        <w:rPr>
          <w:rFonts w:hint="eastAsia" w:hAnsi="宋体" w:cs="黑体"/>
          <w:b/>
          <w:sz w:val="24"/>
          <w:szCs w:val="24"/>
          <w:lang w:val="en-US" w:eastAsia="zh-CN"/>
        </w:rPr>
        <w:t>讨论</w:t>
      </w:r>
      <w:r>
        <w:rPr>
          <w:rFonts w:hint="eastAsia" w:ascii="宋体" w:hAnsi="宋体" w:eastAsia="宋体" w:cs="黑体"/>
          <w:sz w:val="24"/>
          <w:szCs w:val="24"/>
        </w:rPr>
        <w:t>：</w:t>
      </w:r>
      <w:r>
        <w:rPr>
          <w:rFonts w:hint="eastAsia" w:ascii="Times New Roman" w:cs="Times New Roman"/>
          <w:color w:val="000000"/>
          <w:sz w:val="24"/>
        </w:rPr>
        <w:t>以小组为单位完成</w:t>
      </w:r>
      <w:r>
        <w:rPr>
          <w:rFonts w:hint="default" w:ascii="Times New Roman" w:cs="Times New Roman"/>
          <w:color w:val="000000"/>
          <w:sz w:val="24"/>
        </w:rPr>
        <w:t>1</w:t>
      </w:r>
      <w:r>
        <w:rPr>
          <w:rFonts w:hint="eastAsia" w:ascii="Times New Roman" w:cs="Times New Roman"/>
          <w:color w:val="000000"/>
          <w:sz w:val="24"/>
        </w:rPr>
        <w:t>个</w:t>
      </w:r>
      <w:r>
        <w:rPr>
          <w:rFonts w:hint="eastAsia" w:ascii="Times New Roman" w:cs="Times New Roman"/>
          <w:color w:val="000000"/>
          <w:sz w:val="24"/>
          <w:lang w:val="en-US" w:eastAsia="zh-CN"/>
        </w:rPr>
        <w:t>课题</w:t>
      </w:r>
      <w:r>
        <w:rPr>
          <w:rFonts w:hint="eastAsia" w:ascii="Times New Roman" w:cs="Times New Roman"/>
          <w:color w:val="000000"/>
          <w:sz w:val="24"/>
        </w:rPr>
        <w:t>的资料收集和研究设计，以</w:t>
      </w:r>
      <w:r>
        <w:rPr>
          <w:rFonts w:hint="default" w:ascii="Times New Roman" w:cs="Times New Roman"/>
          <w:color w:val="000000"/>
          <w:sz w:val="24"/>
        </w:rPr>
        <w:t>PPT</w:t>
      </w:r>
      <w:r>
        <w:rPr>
          <w:rFonts w:hint="eastAsia" w:ascii="Times New Roman" w:cs="Times New Roman"/>
          <w:color w:val="000000"/>
          <w:sz w:val="24"/>
        </w:rPr>
        <w:t>的形式汇报，按照汇报情况进行评分。</w:t>
      </w:r>
    </w:p>
    <w:p>
      <w:pPr>
        <w:kinsoku w:val="0"/>
        <w:overflowPunct w:val="0"/>
        <w:autoSpaceDE w:val="0"/>
        <w:autoSpaceDN w:val="0"/>
        <w:adjustRightInd w:val="0"/>
        <w:snapToGrid w:val="0"/>
        <w:spacing w:line="400" w:lineRule="exact"/>
        <w:ind w:firstLine="482" w:firstLineChars="200"/>
        <w:rPr>
          <w:rFonts w:ascii="Times" w:hAnsi="Times" w:cs="Times"/>
          <w:color w:val="000000"/>
          <w:sz w:val="22"/>
          <w:szCs w:val="21"/>
        </w:rPr>
      </w:pPr>
      <w:r>
        <w:rPr>
          <w:rFonts w:hint="eastAsia" w:ascii="宋体" w:hAnsi="宋体" w:eastAsia="宋体" w:cs="黑体"/>
          <w:b/>
          <w:sz w:val="24"/>
          <w:szCs w:val="24"/>
        </w:rPr>
        <w:t>（2）</w:t>
      </w:r>
      <w:r>
        <w:rPr>
          <w:rFonts w:hint="eastAsia" w:hAnsi="宋体" w:cs="黑体"/>
          <w:b/>
          <w:sz w:val="24"/>
          <w:szCs w:val="24"/>
          <w:lang w:val="en-US" w:eastAsia="zh-CN"/>
        </w:rPr>
        <w:t>作业完成</w:t>
      </w:r>
      <w:r>
        <w:rPr>
          <w:rFonts w:hint="eastAsia" w:ascii="宋体" w:hAnsi="宋体" w:eastAsia="宋体" w:cs="黑体"/>
          <w:b/>
          <w:sz w:val="24"/>
          <w:szCs w:val="24"/>
        </w:rPr>
        <w:t>：</w:t>
      </w:r>
      <w:r>
        <w:rPr>
          <w:rFonts w:hint="default" w:ascii="Times New Roman" w:hAnsi="Times New Roman" w:eastAsia="宋体" w:cs="Times New Roman"/>
          <w:b w:val="0"/>
          <w:color w:val="000000"/>
          <w:sz w:val="24"/>
          <w:szCs w:val="22"/>
          <w:lang w:val="en-US" w:eastAsia="zh-CN" w:bidi="ar-SA"/>
          <w14:ligatures w14:val="standardContextual"/>
        </w:rPr>
        <w:t>以云班课里记录的所有作业成绩取平均分作为作业成绩</w:t>
      </w:r>
      <w:r>
        <w:rPr>
          <w:rFonts w:hint="eastAsia" w:ascii="Times New Roman" w:cs="Times New Roman"/>
          <w:b w:val="0"/>
          <w:color w:val="000000"/>
          <w:sz w:val="24"/>
          <w:szCs w:val="22"/>
          <w:lang w:val="en-US" w:eastAsia="zh-CN" w:bidi="ar-SA"/>
          <w14:ligatures w14:val="standardContextual"/>
        </w:rPr>
        <w:t>。</w:t>
      </w:r>
    </w:p>
    <w:p>
      <w:pPr>
        <w:kinsoku w:val="0"/>
        <w:overflowPunct w:val="0"/>
        <w:autoSpaceDE w:val="0"/>
        <w:autoSpaceDN w:val="0"/>
        <w:adjustRightInd w:val="0"/>
        <w:snapToGrid w:val="0"/>
        <w:spacing w:line="400" w:lineRule="exact"/>
        <w:ind w:firstLine="482" w:firstLineChars="200"/>
        <w:rPr>
          <w:rFonts w:ascii="宋体" w:hAnsi="宋体" w:eastAsia="宋体" w:cs="黑体"/>
          <w:b/>
          <w:sz w:val="24"/>
          <w:szCs w:val="24"/>
        </w:rPr>
      </w:pPr>
      <w:r>
        <w:rPr>
          <w:rFonts w:hint="eastAsia" w:ascii="宋体" w:hAnsi="宋体" w:eastAsia="宋体" w:cs="黑体"/>
          <w:b/>
          <w:sz w:val="24"/>
          <w:szCs w:val="24"/>
        </w:rPr>
        <w:t>（3）</w:t>
      </w:r>
      <w:r>
        <w:rPr>
          <w:rFonts w:hint="eastAsia" w:hAnsi="宋体" w:cs="黑体"/>
          <w:b/>
          <w:sz w:val="24"/>
          <w:szCs w:val="24"/>
          <w:lang w:val="en-US" w:eastAsia="zh-CN"/>
        </w:rPr>
        <w:t>课堂参与</w:t>
      </w:r>
      <w:r>
        <w:rPr>
          <w:rFonts w:hint="eastAsia" w:ascii="宋体" w:hAnsi="宋体" w:eastAsia="宋体" w:cs="黑体"/>
          <w:b/>
          <w:sz w:val="24"/>
          <w:szCs w:val="24"/>
        </w:rPr>
        <w:t>：</w:t>
      </w:r>
      <w:r>
        <w:rPr>
          <w:rFonts w:hint="default" w:ascii="Times New Roman" w:hAnsi="Times New Roman" w:eastAsia="宋体" w:cs="Times New Roman"/>
          <w:b w:val="0"/>
          <w:color w:val="000000"/>
          <w:sz w:val="24"/>
          <w:szCs w:val="22"/>
          <w:lang w:val="en-US" w:eastAsia="zh-CN" w:bidi="ar-SA"/>
          <w14:ligatures w14:val="standardContextual"/>
        </w:rPr>
        <w:t>以学生在课堂上的表现来评价，包括课堂发言、提问、回答问题、测验、练习等，每人每期参加上述课堂活动不得少于两次，少于两次者，课堂表现成绩记为0分。</w:t>
      </w:r>
    </w:p>
    <w:p>
      <w:pPr>
        <w:spacing w:line="360" w:lineRule="auto"/>
        <w:ind w:firstLine="440" w:firstLineChars="200"/>
        <w:rPr>
          <w:rFonts w:hint="default" w:hAnsi="宋体" w:eastAsia="宋体"/>
          <w:color w:val="000000"/>
          <w:sz w:val="24"/>
          <w:szCs w:val="24"/>
          <w:lang w:val="en-US" w:eastAsia="zh-CN"/>
        </w:rPr>
      </w:pPr>
      <w:r>
        <w:rPr>
          <w:rFonts w:hint="eastAsia"/>
          <w:color w:val="000000"/>
        </w:rPr>
        <w:t xml:space="preserve"> </w:t>
      </w:r>
      <w:r>
        <w:rPr>
          <w:rFonts w:hint="eastAsia" w:hAnsi="宋体" w:cs="黑体"/>
          <w:b/>
          <w:sz w:val="24"/>
          <w:szCs w:val="24"/>
          <w:lang w:val="en-US" w:eastAsia="zh-CN"/>
        </w:rPr>
        <w:t>（4）期末成绩：</w:t>
      </w:r>
      <w:r>
        <w:rPr>
          <w:rFonts w:hint="eastAsia"/>
          <w:color w:val="000000"/>
          <w:lang w:val="en-US" w:eastAsia="zh-CN"/>
        </w:rPr>
        <w:t>期末成绩见卷面成绩。</w:t>
      </w:r>
    </w:p>
    <w:p>
      <w:pPr>
        <w:pStyle w:val="3"/>
        <w:kinsoku w:val="0"/>
        <w:overflowPunct w:val="0"/>
        <w:snapToGrid w:val="0"/>
        <w:spacing w:before="0" w:after="120" w:afterLines="50"/>
        <w:ind w:left="0" w:firstLine="562" w:firstLineChars="200"/>
        <w:rPr>
          <w:rFonts w:ascii="Times New Roman" w:eastAsia="黑体" w:cs="Times New Roman"/>
        </w:rPr>
      </w:pPr>
      <w:r>
        <w:rPr>
          <w:rFonts w:hint="eastAsia" w:ascii="Times New Roman" w:eastAsia="黑体" w:cs="Times New Roman"/>
        </w:rPr>
        <w:t>五、其它说明</w:t>
      </w:r>
    </w:p>
    <w:p>
      <w:pPr>
        <w:snapToGrid w:val="0"/>
        <w:spacing w:line="400" w:lineRule="exact"/>
        <w:ind w:firstLine="480" w:firstLineChars="200"/>
        <w:rPr>
          <w:rFonts w:ascii="Times New Roman" w:cs="Times New Roman"/>
          <w:color w:val="000000"/>
          <w:sz w:val="24"/>
          <w:szCs w:val="24"/>
        </w:rPr>
      </w:pPr>
      <w:r>
        <w:rPr>
          <w:rFonts w:hint="eastAsia" w:ascii="Times New Roman" w:cs="Times New Roman"/>
          <w:color w:val="000000"/>
          <w:sz w:val="24"/>
          <w:szCs w:val="24"/>
        </w:rPr>
        <w:t>本课程大纲依据</w:t>
      </w:r>
      <w:r>
        <w:rPr>
          <w:rFonts w:ascii="Times New Roman" w:cs="Times New Roman"/>
          <w:color w:val="000000"/>
          <w:sz w:val="24"/>
          <w:szCs w:val="24"/>
        </w:rPr>
        <w:t>2023</w:t>
      </w:r>
      <w:r>
        <w:rPr>
          <w:rFonts w:hint="eastAsia" w:ascii="Times New Roman" w:cs="Times New Roman"/>
          <w:color w:val="000000"/>
          <w:sz w:val="24"/>
          <w:szCs w:val="24"/>
        </w:rPr>
        <w:t>版环境生态工程专业人才培养方案，由绿色智慧环境学院环境生态工程系（教研室）讨论制定，绿色智慧环境学院教学工作委员会审定，教务处审核批准，自</w:t>
      </w:r>
      <w:r>
        <w:rPr>
          <w:rFonts w:ascii="Times New Roman" w:cs="Times New Roman"/>
          <w:color w:val="000000"/>
          <w:sz w:val="24"/>
          <w:szCs w:val="24"/>
        </w:rPr>
        <w:t>2023</w:t>
      </w:r>
      <w:r>
        <w:rPr>
          <w:rFonts w:hint="eastAsia" w:ascii="Times New Roman" w:cs="Times New Roman"/>
          <w:color w:val="000000"/>
          <w:sz w:val="24"/>
          <w:szCs w:val="24"/>
        </w:rPr>
        <w:t>级开始执行。</w:t>
      </w:r>
    </w:p>
    <w:p>
      <w:pPr>
        <w:snapToGrid w:val="0"/>
        <w:spacing w:line="400" w:lineRule="exact"/>
        <w:ind w:firstLine="440" w:firstLineChars="200"/>
        <w:rPr>
          <w:rFonts w:ascii="Times New Roman" w:cs="Times New Roman"/>
          <w:color w:val="FF0000"/>
          <w:szCs w:val="21"/>
        </w:rPr>
      </w:pPr>
    </w:p>
    <w:sectPr>
      <w:pgSz w:w="11910" w:h="16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明黑等宽">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41328362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laTxFEAIAAAoEAAAOAAAAZHJzL2Uyb0RvYy54bWytU8uO0zAU3SPx&#10;D5b3NE1nOi1R09EwVRHS8JAGPsB1nMYi8bWu3SblA+APWLFhz3f1O7h2mjIMm1mwsa4f9/ic4+PF&#10;ddfUbK/QaTA5T0djzpSRUGizzfmnj+sXc86cF6YQNRiV84Ny/Hr5/NmitZmaQAV1oZARiHFZa3Ne&#10;eW+zJHGyUo1wI7DK0GYJ2AhPU9wmBYqW0Js6mYzHV0kLWFgEqZyj1VW/yU+I+BRAKEst1QrkrlHG&#10;96ioauFJkqu0dXwZ2Zalkv59WTrlWZ1zUurjSJdQvQljslyIbIvCVlqeKIinUHikqRHa0KVnqJXw&#10;gu1Q/wPVaIngoPQjCU3SC4mOkIp0/Mib+0pYFbWQ1c6eTXf/D1a+239ApgtKwmV6MZlfXE1Szoxo&#10;6OWP378df/w6/vzK0uBTa11Gx+8tNfjuFXTUEzU7ewfys2MGbithtuoGEdpKiYJ4xs7kQWuP4wLI&#10;pn0LBd0jdh4iUFdiE0wkWxih0xsdzm+kOs8kLU5ns/mUM0k76eXs5XQaqCUiG3otOv9aQcNCkXOk&#10;BERssb9zvj86HAlXGVjruo4pqM1fC4QZViL3QLcn7rtNd/JiA8WBVCD0oaIvRUUF+IWzlgKVc0P/&#10;h7P6jSEfQvaGAodiMxTCSGrMueesL299n9GdRb2tCHdw+oa8WusoJJjaczixpIhEK05xDhl8OI+n&#10;/nz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yxwC0QAAAAIBAAAPAAAAAAAAAAEAIAAAACIA&#10;AABkcnMvZG93bnJldi54bWxQSwECFAAUAAAACACHTuJApWk8RRACAAAKBAAADgAAAAAAAAABACAA&#10;AAAgAQAAZHJzL2Uyb0RvYy54bWxQSwUGAAAAAAYABgBZAQAAog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EE34"/>
    <w:multiLevelType w:val="multilevel"/>
    <w:tmpl w:val="B316EE34"/>
    <w:lvl w:ilvl="0" w:tentative="0">
      <w:start w:val="2"/>
      <w:numFmt w:val="chineseCounting"/>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D8367630"/>
    <w:multiLevelType w:val="multilevel"/>
    <w:tmpl w:val="D8367630"/>
    <w:lvl w:ilvl="0" w:tentative="0">
      <w:start w:val="1"/>
      <w:numFmt w:val="decimal"/>
      <w:lvlText w:val="%1."/>
      <w:lvlJc w:val="left"/>
      <w:pPr>
        <w:tabs>
          <w:tab w:val="left" w:pos="312"/>
        </w:tabs>
      </w:pPr>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E247BDEF"/>
    <w:multiLevelType w:val="multilevel"/>
    <w:tmpl w:val="E247BDEF"/>
    <w:lvl w:ilvl="0" w:tentative="0">
      <w:start w:val="1"/>
      <w:numFmt w:val="decimal"/>
      <w:suff w:val="space"/>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0E02D6F8"/>
    <w:multiLevelType w:val="multilevel"/>
    <w:tmpl w:val="0E02D6F8"/>
    <w:lvl w:ilvl="0" w:tentative="0">
      <w:start w:val="1"/>
      <w:numFmt w:val="decimal"/>
      <w:suff w:val="space"/>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10"/>
  <w:drawingGridVerticalSpacing w:val="120"/>
  <w:displayHorizontalDrawingGridEvery w:val="1"/>
  <w:displayVerticalDrawingGridEvery w:val="1"/>
  <w:doNotShadeFormData w:val="1"/>
  <w:noPunctuationKerning w:val="1"/>
  <w:characterSpacingControl w:val="doNotCompress"/>
  <w:noLineBreaksAfter w:lang="zh-CN" w:val="([{·‘“〈《「『【〔〖（．［｛￡￥"/>
  <w:noLineBreaksBefore w:lang="zh-CN" w:val="!),.:;?]}¨·ˇˉ―‖’”…∶、。〃々〉》」』】〕〗！＂＇），．：；？］｀｜｝～￠"/>
  <w:doNotValidateAgainstSchema/>
  <w:doNotDemarcateInvalidXml/>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NmVkZTdjYzUzNDFlMjU4YWNkMjIxOGM1ZjJkMmQifQ=="/>
  </w:docVars>
  <w:rsids>
    <w:rsidRoot w:val="00A94449"/>
    <w:rsid w:val="000A3616"/>
    <w:rsid w:val="000E3378"/>
    <w:rsid w:val="00121F18"/>
    <w:rsid w:val="001852F2"/>
    <w:rsid w:val="00187C98"/>
    <w:rsid w:val="00224D2D"/>
    <w:rsid w:val="00286DCA"/>
    <w:rsid w:val="003D01FC"/>
    <w:rsid w:val="003D6684"/>
    <w:rsid w:val="00413B52"/>
    <w:rsid w:val="005267EC"/>
    <w:rsid w:val="00555F7A"/>
    <w:rsid w:val="005F2C76"/>
    <w:rsid w:val="0068073A"/>
    <w:rsid w:val="007A5B75"/>
    <w:rsid w:val="007D2824"/>
    <w:rsid w:val="00832E44"/>
    <w:rsid w:val="009C033E"/>
    <w:rsid w:val="00A63540"/>
    <w:rsid w:val="00A91C86"/>
    <w:rsid w:val="00A94449"/>
    <w:rsid w:val="00AF3437"/>
    <w:rsid w:val="00AF4D51"/>
    <w:rsid w:val="00BD0B8C"/>
    <w:rsid w:val="00BD1087"/>
    <w:rsid w:val="00C07001"/>
    <w:rsid w:val="00C22F4F"/>
    <w:rsid w:val="00CD7C72"/>
    <w:rsid w:val="00D170FF"/>
    <w:rsid w:val="00D243BC"/>
    <w:rsid w:val="00F006D8"/>
    <w:rsid w:val="00F66679"/>
    <w:rsid w:val="00F7331B"/>
    <w:rsid w:val="00FA2F33"/>
    <w:rsid w:val="018B2EAD"/>
    <w:rsid w:val="021006E5"/>
    <w:rsid w:val="0A072B7A"/>
    <w:rsid w:val="16AB4E87"/>
    <w:rsid w:val="213C325C"/>
    <w:rsid w:val="2A1C1438"/>
    <w:rsid w:val="2CCD473A"/>
    <w:rsid w:val="328C6723"/>
    <w:rsid w:val="329F0927"/>
    <w:rsid w:val="344D16E7"/>
    <w:rsid w:val="368218D0"/>
    <w:rsid w:val="369C202B"/>
    <w:rsid w:val="3D380C8A"/>
    <w:rsid w:val="540F0DE7"/>
    <w:rsid w:val="58027FC6"/>
    <w:rsid w:val="61FE38DC"/>
    <w:rsid w:val="667E2026"/>
    <w:rsid w:val="6933534A"/>
    <w:rsid w:val="6CB90C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link w:val="17"/>
    <w:qFormat/>
    <w:uiPriority w:val="1"/>
    <w:pPr>
      <w:ind w:left="1475" w:right="1873"/>
      <w:jc w:val="center"/>
      <w:outlineLvl w:val="0"/>
    </w:pPr>
    <w:rPr>
      <w:sz w:val="48"/>
      <w:szCs w:val="48"/>
    </w:rPr>
  </w:style>
  <w:style w:type="paragraph" w:styleId="3">
    <w:name w:val="heading 2"/>
    <w:basedOn w:val="1"/>
    <w:link w:val="18"/>
    <w:qFormat/>
    <w:uiPriority w:val="1"/>
    <w:pPr>
      <w:spacing w:before="61"/>
      <w:ind w:left="642"/>
      <w:outlineLvl w:val="1"/>
    </w:pPr>
    <w:rPr>
      <w:rFonts w:ascii="明黑等宽" w:eastAsia="明黑等宽" w:cs="明黑等宽"/>
      <w:b/>
      <w:sz w:val="28"/>
      <w:szCs w:val="28"/>
    </w:rPr>
  </w:style>
  <w:style w:type="paragraph" w:styleId="4">
    <w:name w:val="heading 3"/>
    <w:basedOn w:val="1"/>
    <w:link w:val="19"/>
    <w:qFormat/>
    <w:uiPriority w:val="1"/>
    <w:pPr>
      <w:spacing w:before="1"/>
      <w:ind w:left="220"/>
      <w:outlineLvl w:val="2"/>
    </w:pPr>
    <w:rPr>
      <w:rFonts w:ascii="明黑等宽" w:eastAsia="明黑等宽" w:cs="明黑等宽"/>
      <w:b/>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unhideWhenUsed/>
    <w:qFormat/>
    <w:uiPriority w:val="99"/>
    <w:pPr>
      <w:autoSpaceDE/>
      <w:autoSpaceDN/>
      <w:adjustRightInd/>
    </w:pPr>
    <w:rPr>
      <w:rFonts w:ascii="Calibri" w:hAnsi="Calibri" w:cs="Times New Roman"/>
      <w:kern w:val="2"/>
      <w:sz w:val="21"/>
    </w:rPr>
  </w:style>
  <w:style w:type="paragraph" w:styleId="6">
    <w:name w:val="Body Text"/>
    <w:basedOn w:val="1"/>
    <w:link w:val="33"/>
    <w:unhideWhenUsed/>
    <w:qFormat/>
    <w:uiPriority w:val="1"/>
    <w:rPr>
      <w:sz w:val="24"/>
      <w:szCs w:val="24"/>
    </w:rPr>
  </w:style>
  <w:style w:type="paragraph" w:styleId="7">
    <w:name w:val="Balloon Text"/>
    <w:basedOn w:val="1"/>
    <w:link w:val="31"/>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pPr>
    <w:rPr>
      <w:sz w:val="18"/>
    </w:rPr>
  </w:style>
  <w:style w:type="paragraph" w:styleId="9">
    <w:name w:val="header"/>
    <w:basedOn w:val="1"/>
    <w:link w:val="26"/>
    <w:unhideWhenUsed/>
    <w:qFormat/>
    <w:uiPriority w:val="99"/>
    <w:pPr>
      <w:tabs>
        <w:tab w:val="center" w:pos="4153"/>
        <w:tab w:val="right" w:pos="8306"/>
      </w:tabs>
      <w:snapToGrid w:val="0"/>
      <w:jc w:val="both"/>
    </w:pPr>
    <w:rPr>
      <w:sz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Ansi="宋体"/>
      <w:sz w:val="24"/>
      <w:szCs w:val="24"/>
    </w:rPr>
  </w:style>
  <w:style w:type="paragraph" w:styleId="11">
    <w:name w:val="annotation subject"/>
    <w:basedOn w:val="5"/>
    <w:next w:val="5"/>
    <w:link w:val="48"/>
    <w:qFormat/>
    <w:uiPriority w:val="99"/>
    <w:pPr>
      <w:autoSpaceDE w:val="0"/>
      <w:autoSpaceDN w:val="0"/>
      <w:adjustRightInd w:val="0"/>
    </w:pPr>
    <w:rPr>
      <w:rFonts w:ascii="宋体" w:hAnsi="Times New Roman" w:cs="宋体"/>
      <w:b/>
      <w:bCs/>
      <w:kern w:val="0"/>
      <w:sz w:val="22"/>
    </w:rPr>
  </w:style>
  <w:style w:type="character" w:styleId="14">
    <w:name w:val="Strong"/>
    <w:basedOn w:val="13"/>
    <w:qFormat/>
    <w:uiPriority w:val="99"/>
    <w:rPr>
      <w:rFonts w:cs="Times New Roman"/>
      <w:b/>
    </w:rPr>
  </w:style>
  <w:style w:type="character" w:styleId="15">
    <w:name w:val="Hyperlink"/>
    <w:basedOn w:val="13"/>
    <w:unhideWhenUsed/>
    <w:qFormat/>
    <w:uiPriority w:val="99"/>
    <w:rPr>
      <w:rFonts w:cs="Times New Roman"/>
      <w:color w:val="0000FF"/>
      <w:u w:val="single"/>
    </w:rPr>
  </w:style>
  <w:style w:type="character" w:styleId="16">
    <w:name w:val="annotation reference"/>
    <w:basedOn w:val="13"/>
    <w:unhideWhenUsed/>
    <w:qFormat/>
    <w:uiPriority w:val="99"/>
    <w:rPr>
      <w:rFonts w:cs="Times New Roman"/>
      <w:sz w:val="21"/>
      <w:szCs w:val="21"/>
    </w:rPr>
  </w:style>
  <w:style w:type="character" w:customStyle="1" w:styleId="17">
    <w:name w:val="标题 1 字符"/>
    <w:basedOn w:val="13"/>
    <w:link w:val="2"/>
    <w:unhideWhenUsed/>
    <w:qFormat/>
    <w:uiPriority w:val="9"/>
    <w:rPr>
      <w:rFonts w:ascii="宋体" w:cs="宋体"/>
      <w:b/>
      <w:kern w:val="44"/>
      <w:sz w:val="44"/>
      <w:szCs w:val="44"/>
    </w:rPr>
  </w:style>
  <w:style w:type="character" w:customStyle="1" w:styleId="18">
    <w:name w:val="标题 2 字符"/>
    <w:basedOn w:val="13"/>
    <w:link w:val="3"/>
    <w:unhideWhenUsed/>
    <w:qFormat/>
    <w:locked/>
    <w:uiPriority w:val="9"/>
    <w:rPr>
      <w:rFonts w:ascii="Cambria" w:cs="Cambria"/>
      <w:b/>
      <w:sz w:val="32"/>
      <w:szCs w:val="32"/>
    </w:rPr>
  </w:style>
  <w:style w:type="character" w:customStyle="1" w:styleId="19">
    <w:name w:val="标题 3 字符"/>
    <w:basedOn w:val="13"/>
    <w:link w:val="4"/>
    <w:unhideWhenUsed/>
    <w:qFormat/>
    <w:uiPriority w:val="9"/>
    <w:rPr>
      <w:rFonts w:ascii="宋体" w:cs="宋体"/>
      <w:b/>
      <w:sz w:val="32"/>
      <w:szCs w:val="32"/>
    </w:rPr>
  </w:style>
  <w:style w:type="character" w:customStyle="1" w:styleId="20">
    <w:name w:val="批注文字 字符1"/>
    <w:basedOn w:val="13"/>
    <w:link w:val="5"/>
    <w:unhideWhenUsed/>
    <w:qFormat/>
    <w:locked/>
    <w:uiPriority w:val="99"/>
    <w:rPr>
      <w:rFonts w:cs="Times New Roman"/>
      <w:sz w:val="22"/>
      <w:szCs w:val="22"/>
    </w:rPr>
  </w:style>
  <w:style w:type="character" w:customStyle="1" w:styleId="21">
    <w:name w:val="批注框文本 字符2"/>
    <w:basedOn w:val="13"/>
    <w:unhideWhenUsed/>
    <w:qFormat/>
    <w:uiPriority w:val="99"/>
    <w:rPr>
      <w:rFonts w:ascii="宋体" w:cs="宋体"/>
      <w:sz w:val="18"/>
      <w:szCs w:val="18"/>
    </w:rPr>
  </w:style>
  <w:style w:type="character" w:customStyle="1" w:styleId="22">
    <w:name w:val="style121"/>
    <w:basedOn w:val="13"/>
    <w:unhideWhenUsed/>
    <w:qFormat/>
    <w:uiPriority w:val="0"/>
    <w:rPr>
      <w:rFonts w:cs="Times New Roman"/>
      <w:sz w:val="22"/>
      <w:szCs w:val="22"/>
    </w:rPr>
  </w:style>
  <w:style w:type="character" w:customStyle="1" w:styleId="23">
    <w:name w:val="10"/>
    <w:basedOn w:val="13"/>
    <w:unhideWhenUsed/>
    <w:qFormat/>
    <w:uiPriority w:val="0"/>
    <w:rPr>
      <w:rFonts w:ascii="Calibri" w:cs="Calibri"/>
    </w:rPr>
  </w:style>
  <w:style w:type="character" w:customStyle="1" w:styleId="24">
    <w:name w:val="页脚 字符"/>
    <w:basedOn w:val="13"/>
    <w:link w:val="8"/>
    <w:unhideWhenUsed/>
    <w:qFormat/>
    <w:uiPriority w:val="99"/>
    <w:rPr>
      <w:rFonts w:ascii="宋体" w:cs="宋体"/>
      <w:sz w:val="18"/>
      <w:szCs w:val="18"/>
    </w:rPr>
  </w:style>
  <w:style w:type="character" w:customStyle="1" w:styleId="25">
    <w:name w:val="批注文字 字符"/>
    <w:basedOn w:val="13"/>
    <w:unhideWhenUsed/>
    <w:qFormat/>
    <w:uiPriority w:val="99"/>
    <w:rPr>
      <w:rFonts w:ascii="宋体" w:cs="宋体"/>
      <w:sz w:val="22"/>
      <w:szCs w:val="22"/>
    </w:rPr>
  </w:style>
  <w:style w:type="character" w:customStyle="1" w:styleId="26">
    <w:name w:val="页眉 字符"/>
    <w:basedOn w:val="13"/>
    <w:link w:val="9"/>
    <w:unhideWhenUsed/>
    <w:qFormat/>
    <w:uiPriority w:val="99"/>
    <w:rPr>
      <w:rFonts w:ascii="宋体" w:cs="宋体"/>
      <w:sz w:val="18"/>
      <w:szCs w:val="18"/>
    </w:rPr>
  </w:style>
  <w:style w:type="character" w:customStyle="1" w:styleId="27">
    <w:name w:val="批注文字 字符2"/>
    <w:basedOn w:val="13"/>
    <w:unhideWhenUsed/>
    <w:qFormat/>
    <w:uiPriority w:val="99"/>
    <w:rPr>
      <w:rFonts w:ascii="宋体" w:cs="宋体"/>
      <w:sz w:val="22"/>
    </w:rPr>
  </w:style>
  <w:style w:type="character" w:customStyle="1" w:styleId="28">
    <w:name w:val="正文文本 字符2"/>
    <w:basedOn w:val="13"/>
    <w:unhideWhenUsed/>
    <w:qFormat/>
    <w:uiPriority w:val="99"/>
    <w:rPr>
      <w:rFonts w:ascii="宋体" w:cs="宋体"/>
      <w:sz w:val="22"/>
    </w:rPr>
  </w:style>
  <w:style w:type="character" w:customStyle="1" w:styleId="29">
    <w:name w:val="15"/>
    <w:basedOn w:val="13"/>
    <w:unhideWhenUsed/>
    <w:qFormat/>
    <w:uiPriority w:val="0"/>
    <w:rPr>
      <w:rFonts w:ascii="Calibri" w:cs="Calibri"/>
      <w:sz w:val="21"/>
      <w:szCs w:val="21"/>
    </w:rPr>
  </w:style>
  <w:style w:type="character" w:customStyle="1" w:styleId="30">
    <w:name w:val="批注框文本 字符"/>
    <w:basedOn w:val="13"/>
    <w:unhideWhenUsed/>
    <w:qFormat/>
    <w:uiPriority w:val="99"/>
    <w:rPr>
      <w:rFonts w:ascii="宋体" w:cs="宋体"/>
      <w:sz w:val="18"/>
      <w:szCs w:val="18"/>
    </w:rPr>
  </w:style>
  <w:style w:type="character" w:customStyle="1" w:styleId="31">
    <w:name w:val="批注框文本 字符1"/>
    <w:basedOn w:val="13"/>
    <w:link w:val="7"/>
    <w:unhideWhenUsed/>
    <w:qFormat/>
    <w:locked/>
    <w:uiPriority w:val="99"/>
    <w:rPr>
      <w:rFonts w:ascii="宋体" w:cs="宋体"/>
      <w:sz w:val="18"/>
      <w:szCs w:val="18"/>
    </w:rPr>
  </w:style>
  <w:style w:type="character" w:customStyle="1" w:styleId="32">
    <w:name w:val="link-new"/>
    <w:basedOn w:val="13"/>
    <w:unhideWhenUsed/>
    <w:qFormat/>
    <w:uiPriority w:val="0"/>
    <w:rPr>
      <w:rFonts w:cs="Times New Roman"/>
    </w:rPr>
  </w:style>
  <w:style w:type="character" w:customStyle="1" w:styleId="33">
    <w:name w:val="正文文本 字符1"/>
    <w:basedOn w:val="13"/>
    <w:link w:val="6"/>
    <w:unhideWhenUsed/>
    <w:qFormat/>
    <w:locked/>
    <w:uiPriority w:val="99"/>
    <w:rPr>
      <w:rFonts w:ascii="宋体" w:cs="宋体"/>
      <w:sz w:val="22"/>
    </w:rPr>
  </w:style>
  <w:style w:type="character" w:customStyle="1" w:styleId="34">
    <w:name w:val="正文文本 字符"/>
    <w:basedOn w:val="13"/>
    <w:unhideWhenUsed/>
    <w:qFormat/>
    <w:uiPriority w:val="99"/>
    <w:rPr>
      <w:rFonts w:ascii="宋体" w:cs="宋体"/>
      <w:sz w:val="22"/>
      <w:szCs w:val="22"/>
    </w:rPr>
  </w:style>
  <w:style w:type="character" w:customStyle="1" w:styleId="35">
    <w:name w:val="正文文本 字符3"/>
    <w:basedOn w:val="13"/>
    <w:semiHidden/>
    <w:qFormat/>
    <w:uiPriority w:val="99"/>
    <w:rPr>
      <w:rFonts w:ascii="宋体" w:cs="宋体"/>
      <w:kern w:val="0"/>
      <w:sz w:val="22"/>
      <w:szCs w:val="22"/>
    </w:rPr>
  </w:style>
  <w:style w:type="character" w:customStyle="1" w:styleId="36">
    <w:name w:val="正文文本 字符31"/>
    <w:basedOn w:val="13"/>
    <w:semiHidden/>
    <w:qFormat/>
    <w:uiPriority w:val="99"/>
    <w:rPr>
      <w:rFonts w:ascii="宋体" w:cs="宋体"/>
      <w:kern w:val="0"/>
      <w:sz w:val="22"/>
    </w:rPr>
  </w:style>
  <w:style w:type="character" w:customStyle="1" w:styleId="37">
    <w:name w:val="批注文字 字符3"/>
    <w:basedOn w:val="13"/>
    <w:semiHidden/>
    <w:qFormat/>
    <w:uiPriority w:val="99"/>
    <w:rPr>
      <w:rFonts w:ascii="宋体" w:cs="宋体"/>
      <w:kern w:val="0"/>
      <w:sz w:val="22"/>
      <w:szCs w:val="22"/>
    </w:rPr>
  </w:style>
  <w:style w:type="character" w:customStyle="1" w:styleId="38">
    <w:name w:val="批注文字 字符31"/>
    <w:basedOn w:val="13"/>
    <w:semiHidden/>
    <w:qFormat/>
    <w:uiPriority w:val="99"/>
    <w:rPr>
      <w:rFonts w:ascii="宋体" w:cs="宋体"/>
      <w:kern w:val="0"/>
      <w:sz w:val="22"/>
    </w:rPr>
  </w:style>
  <w:style w:type="character" w:customStyle="1" w:styleId="39">
    <w:name w:val="批注框文本 字符3"/>
    <w:basedOn w:val="13"/>
    <w:semiHidden/>
    <w:qFormat/>
    <w:uiPriority w:val="99"/>
    <w:rPr>
      <w:rFonts w:ascii="宋体" w:cs="宋体"/>
      <w:kern w:val="0"/>
      <w:sz w:val="18"/>
      <w:szCs w:val="18"/>
    </w:rPr>
  </w:style>
  <w:style w:type="character" w:customStyle="1" w:styleId="40">
    <w:name w:val="批注框文本 字符31"/>
    <w:basedOn w:val="13"/>
    <w:semiHidden/>
    <w:qFormat/>
    <w:uiPriority w:val="99"/>
    <w:rPr>
      <w:rFonts w:ascii="宋体" w:cs="宋体"/>
      <w:kern w:val="0"/>
      <w:sz w:val="18"/>
      <w:szCs w:val="18"/>
    </w:rPr>
  </w:style>
  <w:style w:type="character" w:customStyle="1" w:styleId="41">
    <w:name w:val="页脚 字符1"/>
    <w:basedOn w:val="13"/>
    <w:semiHidden/>
    <w:qFormat/>
    <w:uiPriority w:val="99"/>
    <w:rPr>
      <w:rFonts w:ascii="宋体" w:cs="宋体"/>
      <w:kern w:val="0"/>
      <w:sz w:val="18"/>
      <w:szCs w:val="18"/>
    </w:rPr>
  </w:style>
  <w:style w:type="character" w:customStyle="1" w:styleId="42">
    <w:name w:val="页脚 字符11"/>
    <w:basedOn w:val="13"/>
    <w:semiHidden/>
    <w:qFormat/>
    <w:uiPriority w:val="99"/>
    <w:rPr>
      <w:rFonts w:ascii="宋体" w:cs="宋体"/>
      <w:kern w:val="0"/>
      <w:sz w:val="18"/>
      <w:szCs w:val="18"/>
    </w:rPr>
  </w:style>
  <w:style w:type="character" w:customStyle="1" w:styleId="43">
    <w:name w:val="页眉 字符1"/>
    <w:basedOn w:val="13"/>
    <w:semiHidden/>
    <w:qFormat/>
    <w:uiPriority w:val="99"/>
    <w:rPr>
      <w:rFonts w:ascii="宋体" w:cs="宋体"/>
      <w:kern w:val="0"/>
      <w:sz w:val="18"/>
      <w:szCs w:val="18"/>
    </w:rPr>
  </w:style>
  <w:style w:type="character" w:customStyle="1" w:styleId="44">
    <w:name w:val="页眉 字符11"/>
    <w:basedOn w:val="13"/>
    <w:semiHidden/>
    <w:qFormat/>
    <w:uiPriority w:val="99"/>
    <w:rPr>
      <w:rFonts w:ascii="宋体" w:cs="宋体"/>
      <w:kern w:val="0"/>
      <w:sz w:val="18"/>
      <w:szCs w:val="18"/>
    </w:rPr>
  </w:style>
  <w:style w:type="paragraph" w:customStyle="1" w:styleId="45">
    <w:name w:val="Table Paragraph"/>
    <w:basedOn w:val="1"/>
    <w:unhideWhenUsed/>
    <w:qFormat/>
    <w:uiPriority w:val="1"/>
    <w:rPr>
      <w:sz w:val="24"/>
      <w:szCs w:val="24"/>
    </w:rPr>
  </w:style>
  <w:style w:type="paragraph" w:customStyle="1" w:styleId="46">
    <w:name w:val="列出段落2"/>
    <w:basedOn w:val="1"/>
    <w:unhideWhenUsed/>
    <w:qFormat/>
    <w:uiPriority w:val="99"/>
    <w:pPr>
      <w:autoSpaceDE/>
      <w:autoSpaceDN/>
      <w:adjustRightInd/>
      <w:ind w:firstLine="420" w:firstLineChars="200"/>
      <w:jc w:val="both"/>
    </w:pPr>
    <w:rPr>
      <w:rFonts w:ascii="Times New Roman" w:cs="Times New Roman"/>
      <w:kern w:val="2"/>
      <w:sz w:val="21"/>
      <w:szCs w:val="24"/>
    </w:rPr>
  </w:style>
  <w:style w:type="paragraph" w:styleId="47">
    <w:name w:val="List Paragraph"/>
    <w:basedOn w:val="1"/>
    <w:qFormat/>
    <w:uiPriority w:val="34"/>
    <w:pPr>
      <w:spacing w:before="154"/>
      <w:ind w:left="220" w:hanging="360"/>
    </w:pPr>
    <w:rPr>
      <w:sz w:val="24"/>
      <w:szCs w:val="24"/>
    </w:rPr>
  </w:style>
  <w:style w:type="character" w:customStyle="1" w:styleId="48">
    <w:name w:val="批注主题 字符"/>
    <w:basedOn w:val="20"/>
    <w:link w:val="11"/>
    <w:qFormat/>
    <w:uiPriority w:val="99"/>
    <w:rPr>
      <w:rFonts w:ascii="宋体" w:cs="宋体"/>
      <w:b/>
      <w:bCs/>
      <w:sz w:val="22"/>
      <w:szCs w:val="22"/>
    </w:rPr>
  </w:style>
  <w:style w:type="character" w:customStyle="1" w:styleId="49">
    <w:name w:val="正文文本 Char"/>
    <w:qFormat/>
    <w:locked/>
    <w:uiPriority w:val="1"/>
    <w:rPr>
      <w:rFonts w:ascii="宋体" w:hAnsi="Times New Roman"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1025</Words>
  <Characters>5846</Characters>
  <Lines>48</Lines>
  <Paragraphs>13</Paragraphs>
  <TotalTime>2</TotalTime>
  <ScaleCrop>false</ScaleCrop>
  <LinksUpToDate>false</LinksUpToDate>
  <CharactersWithSpaces>6858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2023-08-26T09:50:00Z</dcterms:created>
  <dc:creator>123456</dc:creator>
  <cp:lastModifiedBy>pc</cp:lastModifiedBy>
  <dcterms:modified xsi:type="dcterms:W3CDTF">2024-03-19T02:11:27Z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CAF68A7DD1344A2388A5C3B9A392AC21_12</vt:lpwstr>
  </property>
</Properties>
</file>